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18, 2019</w:t>
      </w:r>
    </w:p>
    <w:p>
      <w:pPr>
        <w:spacing w:after="0" w:line="27" w:lineRule="exact"/>
        <w:rPr>
          <w:sz w:val="24"/>
          <w:szCs w:val="24"/>
          <w:color w:val="auto"/>
        </w:rPr>
      </w:pPr>
    </w:p>
    <w:p>
      <w:pPr>
        <w:ind w:left="91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w:t>
      </w: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116205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125095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40" w:type="dxa"/>
            <w:vAlign w:val="bottom"/>
          </w:tcPr>
          <w:p>
            <w:pPr>
              <w:jc w:val="center"/>
              <w:ind w:right="187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83-2456358</w:t>
            </w:r>
          </w:p>
        </w:tc>
      </w:tr>
      <w:tr>
        <w:trPr>
          <w:trHeight w:val="216"/>
        </w:trPr>
        <w:tc>
          <w:tcPr>
            <w:tcW w:w="4140" w:type="dxa"/>
            <w:vAlign w:val="bottom"/>
          </w:tcPr>
          <w:p>
            <w:pPr>
              <w:jc w:val="center"/>
              <w:ind w:right="187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tcPr>
          <w:p>
            <w:pPr>
              <w:jc w:val="center"/>
              <w:ind w:right="1870"/>
              <w:spacing w:after="0"/>
              <w:rPr>
                <w:sz w:val="20"/>
                <w:szCs w:val="20"/>
                <w:color w:val="auto"/>
              </w:rPr>
            </w:pPr>
            <w:r>
              <w:rPr>
                <w:rFonts w:ascii="Arial" w:cs="Arial" w:eastAsia="Arial" w:hAnsi="Arial"/>
                <w:sz w:val="18"/>
                <w:szCs w:val="18"/>
                <w:color w:val="auto"/>
                <w:w w:val="93"/>
              </w:rPr>
              <w:t>incorporation or organization)</w:t>
            </w:r>
          </w:p>
        </w:tc>
        <w:tc>
          <w:tcPr>
            <w:tcW w:w="358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430-6000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 2019 Omnibus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Tradeweb Markets Inc. 2018 Share Option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Tradeweb Markets Inc. PRSU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Lee Olesky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Tradeweb Markets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1177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430-6000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 “smaller reporting company” and “e</w:t>
      </w:r>
      <w:r>
        <w:rPr>
          <w:rFonts w:ascii="Arial" w:cs="Arial" w:eastAsia="Arial" w:hAnsi="Arial"/>
          <w:sz w:val="17"/>
          <w:szCs w:val="17"/>
          <w:color w:val="auto"/>
        </w:rPr>
        <w:t>merging growth company”</w:t>
      </w:r>
      <w:r>
        <w:rPr>
          <w:rFonts w:ascii="Arial" w:cs="Arial" w:eastAsia="Arial" w:hAnsi="Arial"/>
          <w:sz w:val="18"/>
          <w:szCs w:val="18"/>
          <w:color w:val="auto"/>
        </w:rPr>
        <w:t xml:space="preserve"> in Rule 12b-2 of the Exchange Act.</w:t>
      </w:r>
    </w:p>
    <w:p>
      <w:pPr>
        <w:sectPr>
          <w:pgSz w:w="11900" w:h="16902" w:orient="portrait"/>
          <w:cols w:equalWidth="0" w:num="1">
            <w:col w:w="11420"/>
          </w:cols>
          <w:pgMar w:left="240" w:top="310" w:right="239" w:bottom="0" w:gutter="0" w:footer="0" w:header="0"/>
        </w:sectPr>
      </w:pPr>
    </w:p>
    <w:p>
      <w:pPr>
        <w:spacing w:after="0" w:line="4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980"/>
        <w:spacing w:after="0"/>
        <w:rPr>
          <w:sz w:val="20"/>
          <w:szCs w:val="20"/>
          <w:color w:val="auto"/>
        </w:rPr>
      </w:pPr>
      <w:r>
        <w:rPr>
          <w:rFonts w:ascii="Arial" w:cs="Arial" w:eastAsia="Arial" w:hAnsi="Arial"/>
          <w:sz w:val="17"/>
          <w:szCs w:val="17"/>
          <w:color w:val="auto"/>
        </w:rPr>
        <w:t>Non-accelerated filer x</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99" w:lineRule="exact"/>
        <w:rPr>
          <w:sz w:val="24"/>
          <w:szCs w:val="24"/>
          <w:color w:val="auto"/>
        </w:rPr>
      </w:pPr>
    </w:p>
    <w:p>
      <w:pPr>
        <w:sectPr>
          <w:pgSz w:w="11900" w:h="16902" w:orient="portrait"/>
          <w:cols w:equalWidth="0" w:num="2">
            <w:col w:w="5760" w:space="720"/>
            <w:col w:w="4940"/>
          </w:cols>
          <w:pgMar w:left="240" w:top="310" w:right="239" w:bottom="0" w:gutter="0" w:footer="0" w:header="0"/>
          <w:type w:val="continuous"/>
        </w:sect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4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jc w:val="center"/>
              <w:ind w:right="261"/>
              <w:spacing w:after="0" w:line="100" w:lineRule="exact"/>
              <w:rPr>
                <w:sz w:val="20"/>
                <w:szCs w:val="20"/>
                <w:color w:val="auto"/>
              </w:rPr>
            </w:pPr>
            <w:r>
              <w:rPr>
                <w:rFonts w:ascii="Arial" w:cs="Arial" w:eastAsia="Arial" w:hAnsi="Arial"/>
                <w:sz w:val="11"/>
                <w:szCs w:val="11"/>
                <w:b w:val="1"/>
                <w:bCs w:val="1"/>
                <w:color w:val="auto"/>
              </w:rPr>
              <w:t>PROPOSED</w:t>
            </w:r>
          </w:p>
        </w:tc>
        <w:tc>
          <w:tcPr>
            <w:tcW w:w="160" w:type="dxa"/>
            <w:vAlign w:val="bottom"/>
          </w:tcPr>
          <w:p>
            <w:pPr>
              <w:spacing w:after="0"/>
              <w:rPr>
                <w:sz w:val="8"/>
                <w:szCs w:val="8"/>
                <w:color w:val="auto"/>
              </w:rPr>
            </w:pPr>
          </w:p>
        </w:tc>
        <w:tc>
          <w:tcPr>
            <w:tcW w:w="1500" w:type="dxa"/>
            <w:vAlign w:val="bottom"/>
          </w:tcPr>
          <w:p>
            <w:pPr>
              <w:jc w:val="center"/>
              <w:ind w:right="161"/>
              <w:spacing w:after="0" w:line="100" w:lineRule="exact"/>
              <w:rPr>
                <w:sz w:val="20"/>
                <w:szCs w:val="20"/>
                <w:color w:val="auto"/>
              </w:rPr>
            </w:pPr>
            <w:r>
              <w:rPr>
                <w:rFonts w:ascii="Arial" w:cs="Arial" w:eastAsia="Arial" w:hAnsi="Arial"/>
                <w:sz w:val="11"/>
                <w:szCs w:val="11"/>
                <w:b w:val="1"/>
                <w:bCs w:val="1"/>
                <w:color w:val="auto"/>
              </w:rPr>
              <w:t>PROPOSED</w:t>
            </w:r>
          </w:p>
        </w:tc>
        <w:tc>
          <w:tcPr>
            <w:tcW w:w="2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TITLE OF</w:t>
            </w:r>
          </w:p>
        </w:tc>
        <w:tc>
          <w:tcPr>
            <w:tcW w:w="17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AMOUNT TO BE</w:t>
            </w:r>
          </w:p>
        </w:tc>
        <w:tc>
          <w:tcPr>
            <w:tcW w:w="200" w:type="dxa"/>
            <w:vAlign w:val="bottom"/>
          </w:tcPr>
          <w:p>
            <w:pPr>
              <w:spacing w:after="0"/>
              <w:rPr>
                <w:sz w:val="12"/>
                <w:szCs w:val="12"/>
                <w:color w:val="auto"/>
              </w:rPr>
            </w:pPr>
          </w:p>
        </w:tc>
        <w:tc>
          <w:tcPr>
            <w:tcW w:w="166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2"/>
                <w:szCs w:val="12"/>
                <w:color w:val="auto"/>
              </w:rPr>
            </w:pPr>
          </w:p>
        </w:tc>
        <w:tc>
          <w:tcPr>
            <w:tcW w:w="15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MAXIMUM</w:t>
            </w:r>
          </w:p>
        </w:tc>
        <w:tc>
          <w:tcPr>
            <w:tcW w:w="260" w:type="dxa"/>
            <w:vAlign w:val="bottom"/>
          </w:tcPr>
          <w:p>
            <w:pPr>
              <w:spacing w:after="0"/>
              <w:rPr>
                <w:sz w:val="12"/>
                <w:szCs w:val="12"/>
                <w:color w:val="auto"/>
              </w:rPr>
            </w:pPr>
          </w:p>
        </w:tc>
        <w:tc>
          <w:tcPr>
            <w:tcW w:w="17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ind w:right="261"/>
              <w:spacing w:after="0" w:line="149" w:lineRule="exact"/>
              <w:rPr>
                <w:sz w:val="20"/>
                <w:szCs w:val="20"/>
                <w:color w:val="auto"/>
              </w:rPr>
            </w:pPr>
            <w:r>
              <w:rPr>
                <w:rFonts w:ascii="Arial" w:cs="Arial" w:eastAsia="Arial" w:hAnsi="Arial"/>
                <w:sz w:val="14"/>
                <w:szCs w:val="14"/>
                <w:b w:val="1"/>
                <w:bCs w:val="1"/>
                <w:color w:val="auto"/>
              </w:rPr>
              <w:t>OFFERING PRICE</w:t>
            </w:r>
          </w:p>
        </w:tc>
        <w:tc>
          <w:tcPr>
            <w:tcW w:w="160" w:type="dxa"/>
            <w:vAlign w:val="bottom"/>
          </w:tcPr>
          <w:p>
            <w:pPr>
              <w:spacing w:after="0"/>
              <w:rPr>
                <w:sz w:val="12"/>
                <w:szCs w:val="12"/>
                <w:color w:val="auto"/>
              </w:rPr>
            </w:pPr>
          </w:p>
        </w:tc>
        <w:tc>
          <w:tcPr>
            <w:tcW w:w="15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SECURITIES TO BE REGISTERED</w:t>
            </w:r>
          </w:p>
        </w:tc>
        <w:tc>
          <w:tcPr>
            <w:tcW w:w="17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REGISTERED (1)</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rPr>
              <w:t>PER SHARE</w:t>
            </w: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OFFERING PRICE</w:t>
            </w: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Class A Common Stock, $0.00001 par value per share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8,841,864(2)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368,617,310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Class A Common Stock, $0.00001 par value per share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18,137,050(4)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373,623,230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45,283</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Class A Common Stock, $0.00001 par value per share</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1,186,622(6)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8"/>
                <w:szCs w:val="18"/>
                <w:color w:val="auto"/>
              </w:rPr>
              <w:t>49,470,271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4"/>
        </w:trPr>
        <w:tc>
          <w:tcPr>
            <w:tcW w:w="4160" w:type="dxa"/>
            <w:vAlign w:val="bottom"/>
            <w:gridSpan w:val="2"/>
          </w:tcPr>
          <w:p>
            <w:pPr>
              <w:spacing w:after="0"/>
              <w:rPr>
                <w:sz w:val="20"/>
                <w:szCs w:val="20"/>
                <w:color w:val="auto"/>
              </w:rPr>
            </w:pPr>
            <w:r>
              <w:rPr>
                <w:rFonts w:ascii="Arial" w:cs="Arial" w:eastAsia="Arial" w:hAnsi="Arial"/>
                <w:sz w:val="18"/>
                <w:szCs w:val="18"/>
                <w:color w:val="auto"/>
                <w:w w:val="95"/>
              </w:rPr>
              <w:t>Class A Common Stock, $0.00001 par value per share</w:t>
            </w:r>
          </w:p>
        </w:tc>
        <w:tc>
          <w:tcPr>
            <w:tcW w:w="1780" w:type="dxa"/>
            <w:vAlign w:val="bottom"/>
          </w:tcPr>
          <w:p>
            <w:pPr>
              <w:jc w:val="right"/>
              <w:spacing w:after="0"/>
              <w:rPr>
                <w:sz w:val="20"/>
                <w:szCs w:val="20"/>
                <w:color w:val="auto"/>
              </w:rPr>
            </w:pPr>
            <w:r>
              <w:rPr>
                <w:rFonts w:ascii="Arial" w:cs="Arial" w:eastAsia="Arial" w:hAnsi="Arial"/>
                <w:sz w:val="18"/>
                <w:szCs w:val="18"/>
                <w:color w:val="auto"/>
              </w:rPr>
              <w:t>3,654,324(7)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41.69(3)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61"/>
              <w:spacing w:after="0"/>
              <w:rPr>
                <w:sz w:val="20"/>
                <w:szCs w:val="20"/>
                <w:color w:val="auto"/>
              </w:rPr>
            </w:pPr>
            <w:r>
              <w:rPr>
                <w:rFonts w:ascii="Arial" w:cs="Arial" w:eastAsia="Arial" w:hAnsi="Arial"/>
                <w:sz w:val="18"/>
                <w:szCs w:val="18"/>
                <w:color w:val="auto"/>
              </w:rPr>
              <w:t>152,348,768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18,465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right="140" w:hanging="372"/>
        <w:spacing w:after="0" w:line="268" w:lineRule="auto"/>
        <w:tabs>
          <w:tab w:leader="none" w:pos="389"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this registration statement on Form S-8 (the “</w:t>
      </w:r>
      <w:r>
        <w:rPr>
          <w:rFonts w:ascii="Arial" w:cs="Arial" w:eastAsia="Arial" w:hAnsi="Arial"/>
          <w:sz w:val="17"/>
          <w:szCs w:val="17"/>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w:t>
      </w:r>
      <w:r>
        <w:rPr>
          <w:rFonts w:ascii="Arial" w:cs="Arial" w:eastAsia="Arial" w:hAnsi="Arial"/>
          <w:sz w:val="17"/>
          <w:szCs w:val="17"/>
          <w:color w:val="auto"/>
        </w:rPr>
        <w:t>”) shall cover any additional shares of Tradeweb Markets Inc.’s outstanding shares of Class A common stock, par value $0.00001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(the “</w:t>
      </w:r>
      <w:r>
        <w:rPr>
          <w:rFonts w:ascii="Arial" w:cs="Arial" w:eastAsia="Arial" w:hAnsi="Arial"/>
          <w:sz w:val="17"/>
          <w:szCs w:val="17"/>
          <w:i w:val="1"/>
          <w:iCs w:val="1"/>
          <w:color w:val="auto"/>
        </w:rPr>
        <w:t>Common Stock</w:t>
      </w:r>
      <w:r>
        <w:rPr>
          <w:rFonts w:ascii="Arial" w:cs="Arial" w:eastAsia="Arial" w:hAnsi="Arial"/>
          <w:sz w:val="17"/>
          <w:szCs w:val="17"/>
          <w:color w:val="auto"/>
        </w:rPr>
        <w:t>”), that become issuable under the registrant’s Tradeweb Markets Inc. 2019 Omnibus Equity Incentive Plan (the “</w:t>
      </w:r>
      <w:r>
        <w:rPr>
          <w:rFonts w:ascii="Arial" w:cs="Arial" w:eastAsia="Arial" w:hAnsi="Arial"/>
          <w:sz w:val="17"/>
          <w:szCs w:val="17"/>
          <w:i w:val="1"/>
          <w:iCs w:val="1"/>
          <w:color w:val="auto"/>
        </w:rPr>
        <w:t>Omnibus Plan</w:t>
      </w:r>
      <w:r>
        <w:rPr>
          <w:rFonts w:ascii="Arial" w:cs="Arial" w:eastAsia="Arial" w:hAnsi="Arial"/>
          <w:sz w:val="17"/>
          <w:szCs w:val="17"/>
          <w:color w:val="auto"/>
        </w:rPr>
        <w:t>”), the Amended and Restated Tradeweb Markets Inc. 2018 Share Option Plan (the “</w:t>
      </w:r>
      <w:r>
        <w:rPr>
          <w:rFonts w:ascii="Arial" w:cs="Arial" w:eastAsia="Arial" w:hAnsi="Arial"/>
          <w:sz w:val="17"/>
          <w:szCs w:val="17"/>
          <w:i w:val="1"/>
          <w:iCs w:val="1"/>
          <w:color w:val="auto"/>
        </w:rPr>
        <w:t>Option Plan</w:t>
      </w:r>
      <w:r>
        <w:rPr>
          <w:rFonts w:ascii="Arial" w:cs="Arial" w:eastAsia="Arial" w:hAnsi="Arial"/>
          <w:sz w:val="17"/>
          <w:szCs w:val="17"/>
          <w:color w:val="auto"/>
        </w:rPr>
        <w:t>”) and the Amended and Restated Tradeweb Markets Inc. PRSU Plan (the “</w:t>
      </w:r>
      <w:r>
        <w:rPr>
          <w:rFonts w:ascii="Arial" w:cs="Arial" w:eastAsia="Arial" w:hAnsi="Arial"/>
          <w:sz w:val="17"/>
          <w:szCs w:val="17"/>
          <w:i w:val="1"/>
          <w:iCs w:val="1"/>
          <w:color w:val="auto"/>
        </w:rPr>
        <w:t>PRSU Plan</w:t>
      </w:r>
      <w:r>
        <w:rPr>
          <w:rFonts w:ascii="Arial" w:cs="Arial" w:eastAsia="Arial" w:hAnsi="Arial"/>
          <w:sz w:val="17"/>
          <w:szCs w:val="17"/>
          <w:color w:val="auto"/>
        </w:rPr>
        <w:t>”) by reason of any stock dividend, stock split, reclassification, recapitalization, spin-off or any other similar transaction that results in an increase in the number of shares of Common Stock.</w:t>
      </w:r>
    </w:p>
    <w:p>
      <w:pPr>
        <w:spacing w:after="0" w:line="1" w:lineRule="exact"/>
        <w:rPr>
          <w:rFonts w:ascii="Arial" w:cs="Arial" w:eastAsia="Arial" w:hAnsi="Arial"/>
          <w:sz w:val="17"/>
          <w:szCs w:val="17"/>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available for future issuance under the Omnibus Plan.</w:t>
      </w:r>
    </w:p>
    <w:p>
      <w:pPr>
        <w:spacing w:after="0" w:line="9" w:lineRule="exact"/>
        <w:rPr>
          <w:rFonts w:ascii="Arial" w:cs="Arial" w:eastAsia="Arial" w:hAnsi="Arial"/>
          <w:sz w:val="18"/>
          <w:szCs w:val="18"/>
          <w:color w:val="auto"/>
        </w:rPr>
      </w:pPr>
    </w:p>
    <w:p>
      <w:pPr>
        <w:ind w:left="380" w:right="80" w:hanging="372"/>
        <w:spacing w:after="0" w:line="250" w:lineRule="auto"/>
        <w:tabs>
          <w:tab w:leader="none" w:pos="389"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457(c) and (h) promulgated under the Securities Act. The proposed maximum offering price per share is based upon the average of the high and low prices of the Common Stock on June 14, 2019, as reported on the Nasdaq Global Select Market.</w:t>
      </w:r>
    </w:p>
    <w:p>
      <w:pPr>
        <w:spacing w:after="0" w:line="1" w:lineRule="exact"/>
        <w:rPr>
          <w:rFonts w:ascii="Arial" w:cs="Arial" w:eastAsia="Arial" w:hAnsi="Arial"/>
          <w:sz w:val="18"/>
          <w:szCs w:val="18"/>
          <w:color w:val="auto"/>
        </w:rPr>
      </w:pPr>
    </w:p>
    <w:p>
      <w:pPr>
        <w:ind w:left="380" w:right="240" w:hanging="372"/>
        <w:spacing w:after="0" w:line="261" w:lineRule="auto"/>
        <w:tabs>
          <w:tab w:leader="none" w:pos="389"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number of shares of Common Stock issuable upon exercise of options that have been granted under the Option Plan (the “</w:t>
      </w:r>
      <w:r>
        <w:rPr>
          <w:rFonts w:ascii="Arial" w:cs="Arial" w:eastAsia="Arial" w:hAnsi="Arial"/>
          <w:sz w:val="18"/>
          <w:szCs w:val="18"/>
          <w:i w:val="1"/>
          <w:iCs w:val="1"/>
          <w:color w:val="auto"/>
        </w:rPr>
        <w:t>Outstanding</w:t>
      </w:r>
      <w:r>
        <w:rPr>
          <w:rFonts w:ascii="Arial" w:cs="Arial" w:eastAsia="Arial" w:hAnsi="Arial"/>
          <w:sz w:val="18"/>
          <w:szCs w:val="18"/>
          <w:color w:val="auto"/>
        </w:rPr>
        <w:t xml:space="preserve"> </w:t>
      </w: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-1666240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902" w:orient="portrait"/>
          <w:cols w:equalWidth="0" w:num="1">
            <w:col w:w="11420"/>
          </w:cols>
          <w:pgMar w:left="240" w:top="310" w:right="239" w:bottom="0" w:gutter="0" w:footer="0" w:header="0"/>
          <w:type w:val="continuous"/>
        </w:sectPr>
      </w:pPr>
    </w:p>
    <w:bookmarkStart w:id="1" w:name="page2"/>
    <w:bookmarkEnd w:id="1"/>
    <w:p>
      <w:pPr>
        <w:ind w:left="372" w:right="600" w:hanging="372"/>
        <w:spacing w:after="0" w:line="258" w:lineRule="auto"/>
        <w:tabs>
          <w:tab w:leader="none" w:pos="381"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promulgated under the Securities Act. Represents the weighted average exercise price for such Outstanding Options pursuant to Rule 457(h) under the Securities Act.</w:t>
      </w:r>
    </w:p>
    <w:p>
      <w:pPr>
        <w:spacing w:after="0" w:line="1" w:lineRule="exact"/>
        <w:rPr>
          <w:rFonts w:ascii="Arial" w:cs="Arial" w:eastAsia="Arial" w:hAnsi="Arial"/>
          <w:sz w:val="18"/>
          <w:szCs w:val="18"/>
          <w:color w:val="auto"/>
        </w:rPr>
      </w:pPr>
    </w:p>
    <w:p>
      <w:pPr>
        <w:ind w:left="372" w:hanging="372"/>
        <w:spacing w:after="0" w:line="250" w:lineRule="auto"/>
        <w:tabs>
          <w:tab w:leader="none" w:pos="381"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number of shares of Common Stock available for future issuance under the Option Plan (excluding the shares of Common Stock issuable upon the exercise of Outstanding Options).</w:t>
      </w:r>
    </w:p>
    <w:p>
      <w:pPr>
        <w:ind w:left="372" w:right="400" w:hanging="372"/>
        <w:spacing w:after="0" w:line="261" w:lineRule="auto"/>
        <w:tabs>
          <w:tab w:leader="none" w:pos="381"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the number of shares of Common Stock that may be issued with respect to restricted stock units granted pursuant to the PRSU Plan and available for future issuance under the PRSU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234950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This Registration Statement on Form S-8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is filed by Tradeweb Markets Inc. (“</w:t>
      </w:r>
      <w:r>
        <w:rPr>
          <w:rFonts w:ascii="Arial" w:cs="Arial" w:eastAsia="Arial" w:hAnsi="Arial"/>
          <w:sz w:val="16"/>
          <w:szCs w:val="16"/>
          <w:i w:val="1"/>
          <w:iCs w:val="1"/>
          <w:color w:val="auto"/>
        </w:rPr>
        <w:t>Tradeweb</w:t>
      </w:r>
      <w:r>
        <w:rPr>
          <w:rFonts w:ascii="Arial" w:cs="Arial" w:eastAsia="Arial" w:hAnsi="Arial"/>
          <w:sz w:val="16"/>
          <w:szCs w:val="16"/>
          <w:color w:val="auto"/>
        </w:rPr>
        <w:t>” or the “</w:t>
      </w:r>
      <w:r>
        <w:rPr>
          <w:rFonts w:ascii="Arial" w:cs="Arial" w:eastAsia="Arial" w:hAnsi="Arial"/>
          <w:sz w:val="16"/>
          <w:szCs w:val="16"/>
          <w:i w:val="1"/>
          <w:iCs w:val="1"/>
          <w:color w:val="auto"/>
        </w:rPr>
        <w:t>Registrant</w:t>
      </w:r>
      <w:r>
        <w:rPr>
          <w:rFonts w:ascii="Arial" w:cs="Arial" w:eastAsia="Arial" w:hAnsi="Arial"/>
          <w:sz w:val="16"/>
          <w:szCs w:val="16"/>
          <w:color w:val="auto"/>
        </w:rPr>
        <w:t>”), relating to an aggregate of 31,819,860 shares of the Registrant’s Class A common stock, par value $0.00001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 that may be issued pursuant to the Registrant’s Tradeweb Markets Inc. 2019 Omnibus Equity Incentive Plan (the “</w:t>
      </w:r>
      <w:r>
        <w:rPr>
          <w:rFonts w:ascii="Arial" w:cs="Arial" w:eastAsia="Arial" w:hAnsi="Arial"/>
          <w:sz w:val="16"/>
          <w:szCs w:val="16"/>
          <w:i w:val="1"/>
          <w:iCs w:val="1"/>
          <w:color w:val="auto"/>
        </w:rPr>
        <w:t>Omnibus Plan</w:t>
      </w:r>
      <w:r>
        <w:rPr>
          <w:rFonts w:ascii="Arial" w:cs="Arial" w:eastAsia="Arial" w:hAnsi="Arial"/>
          <w:sz w:val="16"/>
          <w:szCs w:val="16"/>
          <w:color w:val="auto"/>
        </w:rPr>
        <w:t>”), the Amended and Restated Tradeweb Markets Inc. 2018 Share Option Plan (the “</w:t>
      </w:r>
      <w:r>
        <w:rPr>
          <w:rFonts w:ascii="Arial" w:cs="Arial" w:eastAsia="Arial" w:hAnsi="Arial"/>
          <w:sz w:val="16"/>
          <w:szCs w:val="16"/>
          <w:i w:val="1"/>
          <w:iCs w:val="1"/>
          <w:color w:val="auto"/>
        </w:rPr>
        <w:t>Option Plan</w:t>
      </w:r>
      <w:r>
        <w:rPr>
          <w:rFonts w:ascii="Arial" w:cs="Arial" w:eastAsia="Arial" w:hAnsi="Arial"/>
          <w:sz w:val="16"/>
          <w:szCs w:val="16"/>
          <w:color w:val="auto"/>
        </w:rPr>
        <w:t>”) and the Amended and Restated Tradeweb Markets Inc. PRSU Plan (the “</w:t>
      </w:r>
      <w:r>
        <w:rPr>
          <w:rFonts w:ascii="Arial" w:cs="Arial" w:eastAsia="Arial" w:hAnsi="Arial"/>
          <w:sz w:val="16"/>
          <w:szCs w:val="16"/>
          <w:i w:val="1"/>
          <w:iCs w:val="1"/>
          <w:color w:val="auto"/>
        </w:rPr>
        <w:t>PRSU Plan</w:t>
      </w:r>
      <w:r>
        <w:rPr>
          <w:rFonts w:ascii="Arial" w:cs="Arial" w:eastAsia="Arial" w:hAnsi="Arial"/>
          <w:sz w:val="16"/>
          <w:szCs w:val="16"/>
          <w:color w:val="auto"/>
        </w:rPr>
        <w:t>”). The purpose of this Registration Statement is to register the aforementioned 31,819,860 shares of Common Stock on this Registration Statement.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documents containing the information specified in Part I of Form S-8 will be sent or given to plan participants as specified in Rule 428(b)</w:t>
      </w:r>
    </w:p>
    <w:p>
      <w:pPr>
        <w:spacing w:after="0" w:line="35" w:lineRule="exact"/>
        <w:rPr>
          <w:sz w:val="20"/>
          <w:szCs w:val="20"/>
          <w:color w:val="auto"/>
        </w:rPr>
      </w:pPr>
    </w:p>
    <w:p>
      <w:pPr>
        <w:ind w:firstLine="8"/>
        <w:spacing w:after="0" w:line="277"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promulgated by the Securities and Exchange Commission (the “</w:t>
      </w:r>
      <w:r>
        <w:rPr>
          <w:rFonts w:ascii="Arial" w:cs="Arial" w:eastAsia="Arial" w:hAnsi="Arial"/>
          <w:sz w:val="17"/>
          <w:szCs w:val="17"/>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i w:val="1"/>
          <w:iCs w:val="1"/>
          <w:color w:val="auto"/>
        </w:rPr>
        <w:t>Securities Act</w:t>
      </w:r>
      <w:r>
        <w:rPr>
          <w:rFonts w:ascii="Arial" w:cs="Arial" w:eastAsia="Arial" w:hAnsi="Arial"/>
          <w:sz w:val="17"/>
          <w:szCs w:val="17"/>
          <w:color w:val="auto"/>
        </w:rPr>
        <w:t>”). Such documents are not required to be filed with the Commission but constitute (along with the documents incorporated by reference in this Registration Statement pursuant to Item 3 of Part II hereof) a prospectus that meets the requirements of Section 10(a) of the Securities Act.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u w:val="single" w:color="auto"/>
          <w:color w:val="auto"/>
        </w:rPr>
        <w:t>INFORMATION REQUIRED IN THE REGISTRATION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documents, which have been filed with the Commission by the Registrant, are incorporated by reference in this Registration Statement:</w:t>
      </w:r>
    </w:p>
    <w:p>
      <w:pPr>
        <w:spacing w:after="0" w:line="170" w:lineRule="exact"/>
        <w:rPr>
          <w:sz w:val="20"/>
          <w:szCs w:val="20"/>
          <w:color w:val="auto"/>
        </w:rPr>
      </w:pPr>
    </w:p>
    <w:p>
      <w:pPr>
        <w:ind w:left="1300" w:right="300" w:hanging="320"/>
        <w:spacing w:after="0" w:line="277" w:lineRule="auto"/>
        <w:tabs>
          <w:tab w:leader="none" w:pos="1264" w:val="left"/>
        </w:tabs>
        <w:numPr>
          <w:ilvl w:val="0"/>
          <w:numId w:val="4"/>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The Registrant’s Form S-1 (File No. 333-230115) (originally filed with the Commission on March 7, 2019), as amended, and the related</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prospectus dated April 3, 2019.</w:t>
        </w:r>
      </w:hyperlink>
    </w:p>
    <w:p>
      <w:pPr>
        <w:spacing w:after="0" w:line="170" w:lineRule="exact"/>
        <w:rPr>
          <w:rFonts w:ascii="Arial" w:cs="Arial" w:eastAsia="Arial" w:hAnsi="Arial"/>
          <w:sz w:val="18"/>
          <w:szCs w:val="18"/>
          <w:u w:val="single" w:color="auto"/>
          <w:color w:val="0000EE"/>
        </w:rPr>
      </w:pPr>
    </w:p>
    <w:p>
      <w:pPr>
        <w:ind w:left="1260" w:hanging="280"/>
        <w:spacing w:after="0"/>
        <w:tabs>
          <w:tab w:leader="none" w:pos="1260" w:val="left"/>
        </w:tabs>
        <w:numPr>
          <w:ilvl w:val="0"/>
          <w:numId w:val="4"/>
        </w:numPr>
        <w:rPr>
          <w:rFonts w:ascii="Arial" w:cs="Arial" w:eastAsia="Arial" w:hAnsi="Arial"/>
          <w:sz w:val="16"/>
          <w:szCs w:val="16"/>
          <w:u w:val="single" w:color="auto"/>
          <w:color w:val="0000EE"/>
        </w:rPr>
      </w:pPr>
      <w:hyperlink r:id="rId24">
        <w:r>
          <w:rPr>
            <w:rFonts w:ascii="Arial" w:cs="Arial" w:eastAsia="Arial" w:hAnsi="Arial"/>
            <w:sz w:val="16"/>
            <w:szCs w:val="16"/>
            <w:u w:val="single" w:color="auto"/>
            <w:color w:val="0000EE"/>
          </w:rPr>
          <w:t>The Registrant’s Quarterly Report on Form 10-Q for the fiscal quarter ended March 31, 2019, filed with the Commission on May 20, 2019.</w:t>
        </w:r>
      </w:hyperlink>
    </w:p>
    <w:p>
      <w:pPr>
        <w:spacing w:after="0" w:line="248" w:lineRule="exact"/>
        <w:rPr>
          <w:rFonts w:ascii="Arial" w:cs="Arial" w:eastAsia="Arial" w:hAnsi="Arial"/>
          <w:sz w:val="16"/>
          <w:szCs w:val="16"/>
          <w:u w:val="single" w:color="auto"/>
          <w:color w:val="0000EE"/>
        </w:rPr>
      </w:pPr>
    </w:p>
    <w:p>
      <w:pPr>
        <w:ind w:left="1300" w:right="240" w:hanging="320"/>
        <w:spacing w:after="0" w:line="277" w:lineRule="auto"/>
        <w:tabs>
          <w:tab w:leader="none" w:pos="1264" w:val="left"/>
        </w:tabs>
        <w:numPr>
          <w:ilvl w:val="0"/>
          <w:numId w:val="4"/>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Registrant’s Current Reports on Form 8-K, filed with the Commission on April 9, 2019 (relating to items 1.01, 2.03, 3.02, 3.03, 5.03</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and 9.01 thereof) and June 18, 2019 (relating to Items 8.01 and 9.01 thereof).</w:t>
        </w:r>
      </w:hyperlink>
    </w:p>
    <w:p>
      <w:pPr>
        <w:spacing w:after="0" w:line="170" w:lineRule="exact"/>
        <w:rPr>
          <w:rFonts w:ascii="Arial" w:cs="Arial" w:eastAsia="Arial" w:hAnsi="Arial"/>
          <w:sz w:val="18"/>
          <w:szCs w:val="18"/>
          <w:u w:val="single" w:color="auto"/>
          <w:color w:val="0000EE"/>
        </w:rPr>
      </w:pPr>
    </w:p>
    <w:p>
      <w:pPr>
        <w:ind w:left="1300" w:hanging="320"/>
        <w:spacing w:after="0" w:line="257" w:lineRule="auto"/>
        <w:tabs>
          <w:tab w:leader="none" w:pos="1264" w:val="left"/>
        </w:tabs>
        <w:numPr>
          <w:ilvl w:val="0"/>
          <w:numId w:val="4"/>
        </w:numPr>
        <w:rPr>
          <w:rFonts w:ascii="Arial" w:cs="Arial" w:eastAsia="Arial" w:hAnsi="Arial"/>
          <w:sz w:val="18"/>
          <w:szCs w:val="18"/>
          <w:color w:val="0000EE"/>
        </w:rPr>
      </w:pPr>
      <w:r>
        <w:rPr>
          <w:rFonts w:ascii="Arial" w:cs="Arial" w:eastAsia="Arial" w:hAnsi="Arial"/>
          <w:sz w:val="18"/>
          <w:szCs w:val="18"/>
          <w:color w:val="auto"/>
        </w:rPr>
        <w:t>The description of the Registrant’s Common Stock, which is registered under Section 12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contained in the Registration Statement on </w:t>
      </w:r>
      <w:hyperlink r:id="rId26">
        <w:r>
          <w:rPr>
            <w:rFonts w:ascii="Arial" w:cs="Arial" w:eastAsia="Arial" w:hAnsi="Arial"/>
            <w:sz w:val="18"/>
            <w:szCs w:val="18"/>
            <w:u w:val="single" w:color="auto"/>
            <w:color w:val="0000EE"/>
          </w:rPr>
          <w:t>Form 8-A filed with the Commission on April 4, 2019</w:t>
        </w:r>
      </w:hyperlink>
      <w:r>
        <w:rPr>
          <w:rFonts w:ascii="Arial" w:cs="Arial" w:eastAsia="Arial" w:hAnsi="Arial"/>
          <w:sz w:val="18"/>
          <w:szCs w:val="18"/>
          <w:color w:val="auto"/>
        </w:rPr>
        <w:t xml:space="preserve">, which </w:t>
      </w:r>
      <w:hyperlink r:id="rId23">
        <w:r>
          <w:rPr>
            <w:rFonts w:ascii="Arial" w:cs="Arial" w:eastAsia="Arial" w:hAnsi="Arial"/>
            <w:sz w:val="18"/>
            <w:szCs w:val="18"/>
            <w:color w:val="auto"/>
          </w:rPr>
          <w:t xml:space="preserve">incorporates by reference the description of the Common Stock contained in the Registration Statement on </w:t>
        </w:r>
        <w:r>
          <w:rPr>
            <w:rFonts w:ascii="Arial" w:cs="Arial" w:eastAsia="Arial" w:hAnsi="Arial"/>
            <w:sz w:val="18"/>
            <w:szCs w:val="18"/>
            <w:u w:val="single" w:color="auto"/>
            <w:color w:val="0000EE"/>
          </w:rPr>
          <w:t>Form S-1 (File No. 333-230115)</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(originally filed with the Commission on March 7, 2019)</w:t>
        </w:r>
        <w:r>
          <w:rPr>
            <w:rFonts w:ascii="Arial" w:cs="Arial" w:eastAsia="Arial" w:hAnsi="Arial"/>
            <w:sz w:val="18"/>
            <w:szCs w:val="18"/>
            <w:color w:val="000000"/>
          </w:rPr>
          <w:t>, as amended, including any amendment or report filed for the purpose of updating</w:t>
        </w:r>
      </w:hyperlink>
      <w:r>
        <w:rPr>
          <w:rFonts w:ascii="Arial" w:cs="Arial" w:eastAsia="Arial" w:hAnsi="Arial"/>
          <w:sz w:val="18"/>
          <w:szCs w:val="18"/>
          <w:color w:val="0000EE"/>
        </w:rPr>
        <w:t xml:space="preserve"> </w:t>
      </w:r>
      <w:r>
        <w:rPr>
          <w:rFonts w:ascii="Arial" w:cs="Arial" w:eastAsia="Arial" w:hAnsi="Arial"/>
          <w:sz w:val="18"/>
          <w:szCs w:val="18"/>
          <w:color w:val="000000"/>
        </w:rPr>
        <w:t>such description.</w:t>
      </w:r>
    </w:p>
    <w:p>
      <w:pPr>
        <w:spacing w:after="0" w:line="188" w:lineRule="exact"/>
        <w:rPr>
          <w:rFonts w:ascii="Arial" w:cs="Arial" w:eastAsia="Arial" w:hAnsi="Arial"/>
          <w:sz w:val="18"/>
          <w:szCs w:val="18"/>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In addition, all documents filed by the Registrant pursuant to Sections 13(a), 13(c), 14 and 15(d) of the Exchange Act, subsequent to the effective date of this Registration Statement, but prior to the filing of a post-effective amendment to this Registration Statement indicating that all securities offered hereby have been sold or deregistering all securities then remaining unsold, shall be deemed to be incorporated by reference herein and to be a part hereof from the date of filing of such documents.</w:t>
      </w:r>
    </w:p>
    <w:p>
      <w:pPr>
        <w:spacing w:after="0" w:line="187" w:lineRule="exact"/>
        <w:rPr>
          <w:rFonts w:ascii="Arial" w:cs="Arial" w:eastAsia="Arial" w:hAnsi="Arial"/>
          <w:sz w:val="18"/>
          <w:szCs w:val="18"/>
          <w:color w:val="auto"/>
        </w:rPr>
      </w:pPr>
    </w:p>
    <w:p>
      <w:pPr>
        <w:ind w:right="140" w:firstLine="648"/>
        <w:spacing w:after="0" w:line="259" w:lineRule="auto"/>
        <w:rPr>
          <w:sz w:val="20"/>
          <w:szCs w:val="20"/>
          <w:color w:val="auto"/>
        </w:rPr>
      </w:pPr>
      <w:r>
        <w:rPr>
          <w:rFonts w:ascii="Arial" w:cs="Arial" w:eastAsia="Arial" w:hAnsi="Arial"/>
          <w:sz w:val="18"/>
          <w:szCs w:val="18"/>
          <w:color w:val="auto"/>
        </w:rPr>
        <w:t>Any statement contained in any document incorporated by reference herein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pacing w:after="0" w:line="187" w:lineRule="exact"/>
        <w:rPr>
          <w:rFonts w:ascii="Arial" w:cs="Arial" w:eastAsia="Arial" w:hAnsi="Arial"/>
          <w:sz w:val="18"/>
          <w:szCs w:val="18"/>
          <w:color w:val="auto"/>
        </w:rPr>
      </w:pPr>
    </w:p>
    <w:p>
      <w:pPr>
        <w:jc w:val="center"/>
        <w:ind w:right="8960"/>
        <w:spacing w:after="0"/>
        <w:rPr>
          <w:sz w:val="20"/>
          <w:szCs w:val="20"/>
          <w:color w:val="auto"/>
        </w:rPr>
      </w:pPr>
      <w:r>
        <w:rPr>
          <w:rFonts w:ascii="Arial" w:cs="Arial" w:eastAsia="Arial" w:hAnsi="Arial"/>
          <w:sz w:val="16"/>
          <w:szCs w:val="16"/>
          <w:color w:val="auto"/>
        </w:rPr>
        <w:t xml:space="preserve">Item 4.  </w:t>
      </w:r>
      <w:r>
        <w:rPr>
          <w:rFonts w:ascii="Arial" w:cs="Arial" w:eastAsia="Arial" w:hAnsi="Arial"/>
          <w:sz w:val="16"/>
          <w:szCs w:val="16"/>
          <w:u w:val="single" w:color="auto"/>
          <w:color w:val="auto"/>
        </w:rPr>
        <w:t>Description of Securities</w:t>
      </w:r>
    </w:p>
    <w:p>
      <w:pPr>
        <w:spacing w:after="0" w:line="248"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p>
    <w:p>
      <w:pPr>
        <w:spacing w:after="0" w:line="225"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p>
    <w:p>
      <w:pPr>
        <w:spacing w:after="0" w:line="225" w:lineRule="exact"/>
        <w:rPr>
          <w:rFonts w:ascii="Arial" w:cs="Arial" w:eastAsia="Arial" w:hAnsi="Arial"/>
          <w:sz w:val="18"/>
          <w:szCs w:val="18"/>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102 of the Delaware General Corporation Law, as amended (the “</w:t>
      </w:r>
      <w:r>
        <w:rPr>
          <w:rFonts w:ascii="Arial" w:cs="Arial" w:eastAsia="Arial" w:hAnsi="Arial"/>
          <w:sz w:val="18"/>
          <w:szCs w:val="18"/>
          <w:i w:val="1"/>
          <w:iCs w:val="1"/>
          <w:color w:val="auto"/>
        </w:rPr>
        <w:t>DGCL</w:t>
      </w:r>
      <w:r>
        <w:rPr>
          <w:rFonts w:ascii="Arial" w:cs="Arial" w:eastAsia="Arial" w:hAnsi="Arial"/>
          <w:sz w:val="18"/>
          <w:szCs w:val="18"/>
          <w:color w:val="auto"/>
        </w:rPr>
        <w:t>”),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amended and restated certificate of incorporation contains a provision which eliminates directors’ personal liability as set forth above.</w:t>
      </w:r>
    </w:p>
    <w:p>
      <w:pPr>
        <w:spacing w:after="0" w:line="193"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 w:name="page5"/>
    <w:bookmarkEnd w:id="4"/>
    <w:p>
      <w:pPr>
        <w:ind w:right="20" w:firstLine="648"/>
        <w:spacing w:after="0" w:line="254" w:lineRule="auto"/>
        <w:rPr>
          <w:sz w:val="20"/>
          <w:szCs w:val="20"/>
          <w:color w:val="auto"/>
        </w:rPr>
      </w:pPr>
      <w:r>
        <w:rPr>
          <w:rFonts w:ascii="Arial" w:cs="Arial" w:eastAsia="Arial" w:hAnsi="Arial"/>
          <w:sz w:val="18"/>
          <w:szCs w:val="18"/>
          <w:color w:val="auto"/>
        </w:rPr>
        <w:t>Section 145 of the DGCL provides that a Delaware corporation has the power to indemnify its directors, officers, employees, and agents in certain circumstances. 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such person is fairly and reasonably entitled to indemnity for such expenses which the court shall deem proper.</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Section 145 further provides that to the extent that a present or former director or officer of a corporation has been successful in the defense of any action, suit or proceeding referred to in subsections (a) and (b) of Section 145 or in the defense of any claim, issue or matter therein, he or she shall be indemnified against expenses (including attorneys’ fees) actually and reasonably incurred by him or her in connection therewith; that indemnification provided by Section 145 shall not be deemed exclusive of any other rights to which the party seeking indemnification may be entitled; that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and that, unless indemnification is ordered by a court, the determination that indemnification under subsections (a) and (b) of Section 145 is proper because the director, officer, employee or agent has met the applicable standard of conduct under such subsections shall be made by (1) a majority vote of the directors who are not parties to such action, suit or proceeding (or a committee of such directors designated by majority vote of such directors), even though less than a quorum, or (2) if there are no such directors, or if such directors so direct, by independent legal counsel in a written opinion, or (3) by the stockholders.</w:t>
      </w:r>
    </w:p>
    <w:p>
      <w:pPr>
        <w:spacing w:after="0" w:line="18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Registrant’s amended and restated certificate of incorporation and amended and restated bylaws provide that the Registrant shall indemnify its directors and officers to the extent permitted by the Delaware law. The right to indemnification conferred by the Registrant’s amended and restated certificate of incorporation and amended and restated bylaws also includes the right to be paid the expenses (including attorneys’ fees) incurred by a present or former director or officer in defending any civil, criminal, administrative, or investigative action, suit, or proceeding in advance of its final disposition, provided, however, that if the Delaware law requires, an advancement of expenses incurred by a director or officer in his or her capacity as a director or officer shall be made only upon delivery to the Registrant of an undertaking by or on behalf of such director or officer to repay all amounts so advanced if it is ultimately determined that such person is not entitled to be indemnified for such expenses under the Registrant’s amended and restated certificate of incorporation, amended and restated bylaws, or otherwise.</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Registrant has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action, suit, or proceeding against them as to which they could be indemnified.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 w:name="page6"/>
    <w:bookmarkEnd w:id="5"/>
    <w:p>
      <w:pPr>
        <w:ind w:right="560" w:firstLine="648"/>
        <w:spacing w:after="0" w:line="277" w:lineRule="auto"/>
        <w:rPr>
          <w:sz w:val="20"/>
          <w:szCs w:val="20"/>
          <w:color w:val="auto"/>
        </w:rPr>
      </w:pPr>
      <w:r>
        <w:rPr>
          <w:rFonts w:ascii="Arial" w:cs="Arial" w:eastAsia="Arial" w:hAnsi="Arial"/>
          <w:sz w:val="18"/>
          <w:szCs w:val="18"/>
          <w:color w:val="auto"/>
        </w:rPr>
        <w:t>In addition, the Registrant has in effect insurance policies for general officers’ and directors’ liability insurance covering all of its officers and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20" w:type="dxa"/>
            <w:vAlign w:val="bottom"/>
            <w:gridSpan w:val="12"/>
          </w:tcPr>
          <w:p>
            <w:pPr>
              <w:ind w:left="46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342"/>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gridSpan w:val="9"/>
            <w:vMerge w:val="restart"/>
          </w:tcPr>
          <w:p>
            <w:pPr>
              <w:ind w:left="4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Borders>
              <w:top w:val="single" w:sz="8" w:color="auto"/>
            </w:tcBorders>
          </w:tcPr>
          <w:p>
            <w:pPr>
              <w:jc w:val="center"/>
              <w:ind w:left="30"/>
              <w:spacing w:after="0" w:line="170" w:lineRule="exact"/>
              <w:rPr>
                <w:sz w:val="20"/>
                <w:szCs w:val="20"/>
                <w:color w:val="auto"/>
              </w:rPr>
            </w:pPr>
            <w:r>
              <w:rPr>
                <w:rFonts w:ascii="Arial" w:cs="Arial" w:eastAsia="Arial" w:hAnsi="Arial"/>
                <w:sz w:val="18"/>
                <w:szCs w:val="18"/>
                <w:color w:val="auto"/>
                <w:w w:val="87"/>
              </w:rPr>
              <w:t>4.1</w:t>
            </w:r>
          </w:p>
        </w:tc>
        <w:tc>
          <w:tcPr>
            <w:tcW w:w="1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320" w:type="dxa"/>
            <w:vAlign w:val="bottom"/>
            <w:tcBorders>
              <w:top w:val="single" w:sz="8" w:color="auto"/>
            </w:tcBorders>
            <w:gridSpan w:val="18"/>
          </w:tcPr>
          <w:p>
            <w:pPr>
              <w:spacing w:after="0" w:line="170"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Amended and Restated Certificate of Incorporation of Tradeweb Markets Inc. (incorporated by reference to Exhibit 3.1 to the Registration’s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Current Report on Form 8-K filed on April 9, 2019).</w:t>
              </w:r>
            </w:hyperlink>
          </w:p>
        </w:tc>
        <w:tc>
          <w:tcPr>
            <w:tcW w:w="6280" w:type="dxa"/>
            <w:vAlign w:val="bottom"/>
            <w:tcBorders>
              <w:top w:val="single" w:sz="8" w:color="0000EE"/>
            </w:tcBorders>
            <w:gridSpan w:val="8"/>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20" w:type="dxa"/>
            <w:vAlign w:val="bottom"/>
            <w:gridSpan w:val="18"/>
          </w:tcPr>
          <w:p>
            <w:pPr>
              <w:spacing w:after="0"/>
              <w:rPr>
                <w:rFonts w:ascii="Arial" w:cs="Arial" w:eastAsia="Arial" w:hAnsi="Arial"/>
                <w:sz w:val="18"/>
                <w:szCs w:val="18"/>
                <w:color w:val="0000EE"/>
                <w:w w:val="93"/>
              </w:rPr>
            </w:pPr>
            <w:hyperlink r:id="rId30">
              <w:r>
                <w:rPr>
                  <w:rFonts w:ascii="Arial" w:cs="Arial" w:eastAsia="Arial" w:hAnsi="Arial"/>
                  <w:sz w:val="18"/>
                  <w:szCs w:val="18"/>
                  <w:color w:val="0000EE"/>
                  <w:w w:val="93"/>
                </w:rPr>
                <w:t>Amended and Restated Bylaws of Tradeweb Markets Inc. (incorporated by reference to Exhibit 3.2 to the Registration’s Current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Form 8-K filed on April 9, 2019).</w:t>
              </w:r>
            </w:hyperlink>
          </w:p>
        </w:tc>
        <w:tc>
          <w:tcPr>
            <w:tcW w:w="7560" w:type="dxa"/>
            <w:vAlign w:val="bottom"/>
            <w:tcBorders>
              <w:top w:val="single" w:sz="8" w:color="0000EE"/>
            </w:tcBorders>
            <w:gridSpan w:val="13"/>
          </w:tcPr>
          <w:p>
            <w:pPr>
              <w:spacing w:after="0"/>
              <w:rPr>
                <w:sz w:val="17"/>
                <w:szCs w:val="17"/>
                <w:color w:val="auto"/>
              </w:rPr>
            </w:pPr>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Specimen Common Stock Certificate of Tradeweb Markets Inc. (incorporated by reference to Exhibit 4.1 to Amendment No. 3 to the</w:t>
              </w:r>
            </w:hyperlink>
          </w:p>
        </w:tc>
        <w:tc>
          <w:tcPr>
            <w:tcW w:w="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320" w:type="dxa"/>
            <w:vAlign w:val="bottom"/>
            <w:gridSpan w:val="18"/>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Registrant’s Registration Statement on Form S-1 filed on April 2, 2019).</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20" w:type="dxa"/>
            <w:vAlign w:val="bottom"/>
            <w:gridSpan w:val="18"/>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Amended and Restated Tradeweb Markets Inc. 2018 Share Option Plan (incorporated by reference to Exhibit 10.8 to the Registrant’s Quarterly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Report on Form 10-Q filed on May 20, 2019).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Borders>
              <w:bottom w:val="single" w:sz="8" w:color="0000EE"/>
            </w:tcBorders>
            <w:gridSpan w:val="16"/>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Amended and Restated Tradeweb Markets Inc. PRSU Plan (incorporated by reference to Exhibit 10.9 to the Registrant’s Quarterly Report on</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3">
              <w:r>
                <w:rPr>
                  <w:rFonts w:ascii="Arial" w:cs="Arial" w:eastAsia="Arial" w:hAnsi="Arial"/>
                  <w:sz w:val="18"/>
                  <w:szCs w:val="18"/>
                  <w:color w:val="0000EE"/>
                  <w:w w:val="92"/>
                </w:rPr>
                <w:t>Form 10-Q filed on May 20, 2019).</w:t>
              </w:r>
            </w:hyperlink>
          </w:p>
        </w:tc>
        <w:tc>
          <w:tcPr>
            <w:tcW w:w="77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Borders>
              <w:bottom w:val="single" w:sz="8" w:color="0000EE"/>
            </w:tcBorders>
            <w:gridSpan w:val="16"/>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Tradeweb Markets Inc. 2019 Omnibus Equity Incentive Plan (incorporated by reference to Exhibit 10.10 to the Registrant’s Quarterly Report</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on Form 10-Q filed on May 20, 2019).</w:t>
              </w:r>
            </w:hyperlink>
          </w:p>
        </w:tc>
        <w:tc>
          <w:tcPr>
            <w:tcW w:w="7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20" w:type="dxa"/>
            <w:vAlign w:val="bottom"/>
            <w:tcBorders>
              <w:bottom w:val="single" w:sz="8" w:color="0000EE"/>
            </w:tcBorders>
            <w:gridSpan w:val="18"/>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Form of Director RSU Agreement under the Tradeweb Markets Inc. 2019 Omnibus Equity Incentive Plan (incorporated by reference to Exhibit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11</w:t>
              </w:r>
              <w:r>
                <w:rPr>
                  <w:rFonts w:ascii="Arial" w:cs="Arial" w:eastAsia="Arial" w:hAnsi="Arial"/>
                  <w:sz w:val="18"/>
                  <w:szCs w:val="18"/>
                  <w:color w:val="0000EE"/>
                  <w:w w:val="91"/>
                </w:rPr>
                <w:t xml:space="preserve"> to Registrant’s Quarterly Report on Form 10-Q filed on May 20, 2019).</w:t>
              </w:r>
            </w:hyperlink>
          </w:p>
        </w:tc>
        <w:tc>
          <w:tcPr>
            <w:tcW w:w="47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87"/>
              </w:rPr>
              <w:t>5.1</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6">
              <w:r>
                <w:rPr>
                  <w:rFonts w:ascii="Arial" w:cs="Arial" w:eastAsia="Arial" w:hAnsi="Arial"/>
                  <w:sz w:val="18"/>
                  <w:szCs w:val="18"/>
                  <w:color w:val="0000EE"/>
                </w:rPr>
                <w:t>Opinion of Fried, Frank, Harris, Shriver &amp; Jacobson LLP.</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23.1</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7">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23.2</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8">
              <w:r>
                <w:rPr>
                  <w:rFonts w:ascii="Arial" w:cs="Arial" w:eastAsia="Arial" w:hAnsi="Arial"/>
                  <w:sz w:val="18"/>
                  <w:szCs w:val="18"/>
                  <w:color w:val="0000EE"/>
                </w:rPr>
                <w:t>Consent of Deloitte &amp; Touche LLP.</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23.3</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9">
              <w:r>
                <w:rPr>
                  <w:rFonts w:ascii="Arial" w:cs="Arial" w:eastAsia="Arial" w:hAnsi="Arial"/>
                  <w:sz w:val="18"/>
                  <w:szCs w:val="18"/>
                  <w:color w:val="0000EE"/>
                </w:rPr>
                <w:t>Consent of PricewaterhouseCoopers LLP.</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23.4</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r:id="rId36">
              <w:r>
                <w:rPr>
                  <w:rFonts w:ascii="Arial" w:cs="Arial" w:eastAsia="Arial" w:hAnsi="Arial"/>
                  <w:sz w:val="18"/>
                  <w:szCs w:val="18"/>
                  <w:color w:val="0000EE"/>
                </w:rPr>
                <w:t>Consent of Fried, Frank, Harris, Shriver &amp; Jacobson LLP (included in Exhibit 5.1).</w:t>
              </w:r>
            </w:hyperlink>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3960" w:type="dxa"/>
            <w:vAlign w:val="bottom"/>
            <w:gridSpan w:val="8"/>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gridSpan w:val="2"/>
          </w:tcPr>
          <w:p>
            <w:pPr>
              <w:jc w:val="center"/>
              <w:ind w:left="33"/>
              <w:spacing w:after="0"/>
              <w:rPr>
                <w:sz w:val="20"/>
                <w:szCs w:val="20"/>
                <w:color w:val="auto"/>
              </w:rPr>
            </w:pPr>
            <w:r>
              <w:rPr>
                <w:rFonts w:ascii="Arial" w:cs="Arial" w:eastAsia="Arial" w:hAnsi="Arial"/>
                <w:sz w:val="18"/>
                <w:szCs w:val="18"/>
                <w:color w:val="auto"/>
                <w:w w:val="91"/>
              </w:rPr>
              <w:t>24.1</w:t>
            </w:r>
          </w:p>
        </w:tc>
        <w:tc>
          <w:tcPr>
            <w:tcW w:w="10740" w:type="dxa"/>
            <w:vAlign w:val="bottom"/>
            <w:gridSpan w:val="20"/>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
              <w:r>
                <w:rPr>
                  <w:rFonts w:ascii="Arial" w:cs="Arial" w:eastAsia="Arial" w:hAnsi="Arial"/>
                  <w:sz w:val="18"/>
                  <w:szCs w:val="18"/>
                  <w:color w:val="0000EE"/>
                </w:rPr>
                <w:t>Power of Attorney (included on signature page hereto).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p>
    <w:p>
      <w:pPr>
        <w:spacing w:after="0" w:line="225"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w:t>
      </w:r>
    </w:p>
    <w:p>
      <w:pPr>
        <w:spacing w:after="0" w:line="22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37" w:lineRule="exact"/>
        <w:rPr>
          <w:sz w:val="20"/>
          <w:szCs w:val="20"/>
          <w:color w:val="auto"/>
        </w:rPr>
      </w:pPr>
    </w:p>
    <w:p>
      <w:pPr>
        <w:ind w:left="1980" w:hanging="675"/>
        <w:spacing w:after="0"/>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300" w:right="60" w:firstLine="5"/>
        <w:spacing w:after="0" w:line="272" w:lineRule="auto"/>
        <w:tabs>
          <w:tab w:leader="none" w:pos="1979"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this Registration Statement; and</w:t>
      </w:r>
    </w:p>
    <w:p>
      <w:pPr>
        <w:spacing w:after="0" w:line="177" w:lineRule="exact"/>
        <w:rPr>
          <w:rFonts w:ascii="Arial" w:cs="Arial" w:eastAsia="Arial" w:hAnsi="Arial"/>
          <w:sz w:val="17"/>
          <w:szCs w:val="17"/>
          <w:color w:val="auto"/>
        </w:rPr>
      </w:pPr>
    </w:p>
    <w:p>
      <w:pPr>
        <w:ind w:left="1300" w:right="60" w:firstLine="5"/>
        <w:spacing w:after="0" w:line="277" w:lineRule="auto"/>
        <w:tabs>
          <w:tab w:leader="none" w:pos="19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660" w:right="28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the undertakings set forth in paragraphs (a)(1)(i) and (a)(1)(ii)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66" w:lineRule="exact"/>
        <w:rPr>
          <w:sz w:val="20"/>
          <w:szCs w:val="20"/>
          <w:color w:val="auto"/>
        </w:rPr>
      </w:pPr>
    </w:p>
    <w:p>
      <w:pPr>
        <w:ind w:left="660" w:right="60" w:firstLine="685"/>
        <w:spacing w:after="0" w:line="264" w:lineRule="auto"/>
        <w:tabs>
          <w:tab w:leader="none" w:pos="1964" w:val="left"/>
        </w:tabs>
        <w:numPr>
          <w:ilvl w:val="2"/>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40" w:firstLine="656"/>
        <w:spacing w:after="0" w:line="302" w:lineRule="auto"/>
        <w:tabs>
          <w:tab w:leader="none" w:pos="1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the purpose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54" w:lineRule="exact"/>
        <w:rPr>
          <w:rFonts w:ascii="Arial" w:cs="Arial" w:eastAsia="Arial" w:hAnsi="Arial"/>
          <w:sz w:val="16"/>
          <w:szCs w:val="16"/>
          <w:color w:val="auto"/>
        </w:rPr>
      </w:pPr>
    </w:p>
    <w:p>
      <w:pPr>
        <w:ind w:firstLine="656"/>
        <w:spacing w:after="0" w:line="291" w:lineRule="auto"/>
        <w:tabs>
          <w:tab w:leader="none" w:pos="1307"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hereunto duly authorized, in the City of New York, New York, on this 18th day of June, 2019.</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Lee Olesky</w:t>
      </w:r>
    </w:p>
    <w:p>
      <w:pPr>
        <w:spacing w:after="0" w:line="23" w:lineRule="exact"/>
        <w:rPr>
          <w:sz w:val="20"/>
          <w:szCs w:val="20"/>
          <w:color w:val="auto"/>
        </w:rPr>
      </w:pPr>
    </w:p>
    <w:p>
      <w:pPr>
        <w:ind w:left="6180"/>
        <w:spacing w:after="0"/>
        <w:tabs>
          <w:tab w:leader="none" w:pos="6940" w:val="left"/>
        </w:tabs>
        <w:rPr>
          <w:sz w:val="20"/>
          <w:szCs w:val="20"/>
          <w:color w:val="auto"/>
        </w:rPr>
      </w:pPr>
      <w:r>
        <w:rPr>
          <w:rFonts w:ascii="Arial" w:cs="Arial" w:eastAsia="Arial" w:hAnsi="Arial"/>
          <w:sz w:val="18"/>
          <w:szCs w:val="18"/>
          <w:b w:val="1"/>
          <w:bCs w:val="1"/>
          <w:color w:val="auto"/>
        </w:rPr>
        <w:t>Name:</w:t>
        <w:tab/>
        <w:t>Lee Olesky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9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b w:val="1"/>
          <w:bCs w:val="1"/>
          <w:i w:val="1"/>
          <w:iCs w:val="1"/>
          <w:color w:val="auto"/>
        </w:rPr>
        <w:t>Chief Executive Officer</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7" w:right="37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KNOW ALL PEOPLE BY THESE PRESENTS, that each person whose signature appears below hereby appoints Lee Olesky, Robert Warshaw and Douglas Friedman and each of them severally, acting alone and without the other, his/her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on Form S-8, and to sign any and all additional registration statements relating to the same offering of securities of this Registration Statement that are filed pursuant to Rule 462(b) of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6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TITLE</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4"/>
                <w:szCs w:val="14"/>
                <w:color w:val="auto"/>
              </w:rPr>
            </w:pPr>
          </w:p>
        </w:tc>
      </w:tr>
      <w:tr>
        <w:trPr>
          <w:trHeight w:val="210"/>
        </w:trPr>
        <w:tc>
          <w:tcPr>
            <w:tcW w:w="3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/s/ Lee Olesky</w:t>
            </w:r>
          </w:p>
        </w:tc>
        <w:tc>
          <w:tcPr>
            <w:tcW w:w="240" w:type="dxa"/>
            <w:vAlign w:val="bottom"/>
          </w:tcPr>
          <w:p>
            <w:pPr>
              <w:spacing w:after="0"/>
              <w:rPr>
                <w:sz w:val="18"/>
                <w:szCs w:val="18"/>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Chief Executive Officer</w:t>
            </w:r>
          </w:p>
        </w:tc>
        <w:tc>
          <w:tcPr>
            <w:tcW w:w="220" w:type="dxa"/>
            <w:vAlign w:val="bottom"/>
          </w:tcPr>
          <w:p>
            <w:pPr>
              <w:spacing w:after="0"/>
              <w:rPr>
                <w:sz w:val="18"/>
                <w:szCs w:val="18"/>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18"/>
                <w:szCs w:val="18"/>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Lee Olesky</w:t>
            </w:r>
          </w:p>
        </w:tc>
        <w:tc>
          <w:tcPr>
            <w:tcW w:w="240" w:type="dxa"/>
            <w:vAlign w:val="bottom"/>
          </w:tcPr>
          <w:p>
            <w:pPr>
              <w:spacing w:after="0"/>
              <w:rPr>
                <w:sz w:val="19"/>
                <w:szCs w:val="19"/>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 and Director</w:t>
            </w: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Warshaw</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182"/>
        </w:trPr>
        <w:tc>
          <w:tcPr>
            <w:tcW w:w="3660" w:type="dxa"/>
            <w:vAlign w:val="bottom"/>
          </w:tcPr>
          <w:p>
            <w:pPr>
              <w:jc w:val="center"/>
              <w:spacing w:after="0" w:line="182" w:lineRule="exact"/>
              <w:rPr>
                <w:sz w:val="20"/>
                <w:szCs w:val="20"/>
                <w:color w:val="auto"/>
              </w:rPr>
            </w:pPr>
            <w:r>
              <w:rPr>
                <w:rFonts w:ascii="Arial" w:cs="Arial" w:eastAsia="Arial" w:hAnsi="Arial"/>
                <w:sz w:val="18"/>
                <w:szCs w:val="18"/>
                <w:color w:val="auto"/>
                <w:w w:val="89"/>
              </w:rPr>
              <w:t>Robert Warshaw</w:t>
            </w:r>
          </w:p>
        </w:tc>
        <w:tc>
          <w:tcPr>
            <w:tcW w:w="240" w:type="dxa"/>
            <w:vAlign w:val="bottom"/>
          </w:tcPr>
          <w:p>
            <w:pPr>
              <w:spacing w:after="0"/>
              <w:rPr>
                <w:sz w:val="15"/>
                <w:szCs w:val="15"/>
                <w:color w:val="auto"/>
              </w:rPr>
            </w:pPr>
          </w:p>
        </w:tc>
        <w:tc>
          <w:tcPr>
            <w:tcW w:w="388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3"/>
              </w:rPr>
              <w:t>(Principal Financial Officer and Principal</w:t>
            </w:r>
          </w:p>
        </w:tc>
        <w:tc>
          <w:tcPr>
            <w:tcW w:w="36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Accounting Officer)</w:t>
            </w:r>
          </w:p>
        </w:tc>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Brand</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Martin Brand</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G. Finley</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John G. Finley</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Scott C. Ganeles</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88"/>
              </w:rPr>
              <w:t>Scott C. Ganeles</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Hult</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rPr>
              <w:t>William Hult</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Paula B. Madoff</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3"/>
              </w:rPr>
              <w:t>Paula B. Madoff</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Pluta</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Thomas Pluta</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Debra Walton</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Debra Walton</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Brian West</w:t>
            </w:r>
          </w:p>
        </w:tc>
        <w:tc>
          <w:tcPr>
            <w:tcW w:w="240" w:type="dxa"/>
            <w:vAlign w:val="bottom"/>
          </w:tcPr>
          <w:p>
            <w:pPr>
              <w:spacing w:after="0"/>
              <w:rPr>
                <w:sz w:val="24"/>
                <w:szCs w:val="24"/>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7"/>
              </w:rPr>
              <w:t>June 18, 2019</w:t>
            </w:r>
          </w:p>
        </w:tc>
        <w:tc>
          <w:tcPr>
            <w:tcW w:w="40" w:type="dxa"/>
            <w:vAlign w:val="bottom"/>
          </w:tcPr>
          <w:p>
            <w:pPr>
              <w:spacing w:after="0"/>
              <w:rPr>
                <w:sz w:val="24"/>
                <w:szCs w:val="24"/>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Brian West</w:t>
            </w:r>
          </w:p>
        </w:tc>
        <w:tc>
          <w:tcPr>
            <w:tcW w:w="2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3660" w:type="dxa"/>
            <w:vAlign w:val="bottom"/>
          </w:tcPr>
          <w:p>
            <w:pPr>
              <w:spacing w:after="0"/>
              <w:rPr>
                <w:sz w:val="24"/>
                <w:szCs w:val="24"/>
                <w:color w:val="auto"/>
              </w:rPr>
            </w:pPr>
          </w:p>
        </w:tc>
        <w:tc>
          <w:tcPr>
            <w:tcW w:w="390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8</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Fried, Frank, Harris, Shriver &amp; Jacobson LLP]</w:t>
      </w:r>
    </w:p>
    <w:p>
      <w:pPr>
        <w:spacing w:after="0" w:line="225"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18,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Tradeweb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1177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have acted as counsel to Tradeweb Markets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in connection with the Company’s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Statement on Form S-8 (together with any amendments thereto,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filed with the Securities and Exchange Commission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relating to the registration of an aggregate of 31,819,860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Class A common stock, par value $0.00001 per share (the “</w:t>
      </w:r>
      <w:r>
        <w:rPr>
          <w:rFonts w:ascii="Arial" w:cs="Arial" w:eastAsia="Arial" w:hAnsi="Arial"/>
          <w:sz w:val="16"/>
          <w:szCs w:val="16"/>
          <w:i w:val="1"/>
          <w:iCs w:val="1"/>
          <w:color w:val="auto"/>
        </w:rPr>
        <w:t>Shares</w:t>
      </w:r>
      <w:r>
        <w:rPr>
          <w:rFonts w:ascii="Arial" w:cs="Arial" w:eastAsia="Arial" w:hAnsi="Arial"/>
          <w:sz w:val="16"/>
          <w:szCs w:val="16"/>
          <w:color w:val="auto"/>
        </w:rPr>
        <w:t>”), consisting of (i) 8,841,864 Shares issuable under the Tradeweb Markets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Omnibus Equity Incentive Plan (the “</w:t>
      </w:r>
      <w:r>
        <w:rPr>
          <w:rFonts w:ascii="Arial" w:cs="Arial" w:eastAsia="Arial" w:hAnsi="Arial"/>
          <w:sz w:val="16"/>
          <w:szCs w:val="16"/>
          <w:i w:val="1"/>
          <w:iCs w:val="1"/>
          <w:color w:val="auto"/>
        </w:rPr>
        <w:t>Omnibus Plan</w:t>
      </w:r>
      <w:r>
        <w:rPr>
          <w:rFonts w:ascii="Arial" w:cs="Arial" w:eastAsia="Arial" w:hAnsi="Arial"/>
          <w:sz w:val="16"/>
          <w:szCs w:val="16"/>
          <w:color w:val="auto"/>
        </w:rPr>
        <w:t>”), (ii) 19,323,672 Shares issuable under the Amended and Restated Tradeweb Markets Inc.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Option Plan (the “</w:t>
      </w:r>
      <w:r>
        <w:rPr>
          <w:rFonts w:ascii="Arial" w:cs="Arial" w:eastAsia="Arial" w:hAnsi="Arial"/>
          <w:sz w:val="16"/>
          <w:szCs w:val="16"/>
          <w:i w:val="1"/>
          <w:iCs w:val="1"/>
          <w:color w:val="auto"/>
        </w:rPr>
        <w:t>Option Plan</w:t>
      </w:r>
      <w:r>
        <w:rPr>
          <w:rFonts w:ascii="Arial" w:cs="Arial" w:eastAsia="Arial" w:hAnsi="Arial"/>
          <w:sz w:val="16"/>
          <w:szCs w:val="16"/>
          <w:color w:val="auto"/>
        </w:rPr>
        <w:t>”) and (iii) 3,654,324 Shares issuable under the Amended and Restated Tradeweb Markets Inc. PRSU Plan (the “</w:t>
      </w:r>
      <w:r>
        <w:rPr>
          <w:rFonts w:ascii="Arial" w:cs="Arial" w:eastAsia="Arial" w:hAnsi="Arial"/>
          <w:sz w:val="16"/>
          <w:szCs w:val="16"/>
          <w:i w:val="1"/>
          <w:iCs w:val="1"/>
          <w:color w:val="auto"/>
        </w:rPr>
        <w:t>PRSU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Plan</w:t>
      </w:r>
      <w:r>
        <w:rPr>
          <w:rFonts w:ascii="Arial" w:cs="Arial" w:eastAsia="Arial" w:hAnsi="Arial"/>
          <w:sz w:val="16"/>
          <w:szCs w:val="16"/>
          <w:color w:val="auto"/>
        </w:rPr>
        <w:t>” and, together with the Omnibus Plan and the Option Plan, the “</w:t>
      </w:r>
      <w:r>
        <w:rPr>
          <w:rFonts w:ascii="Arial" w:cs="Arial" w:eastAsia="Arial" w:hAnsi="Arial"/>
          <w:sz w:val="16"/>
          <w:szCs w:val="16"/>
          <w:i w:val="1"/>
          <w:iCs w:val="1"/>
          <w:color w:val="auto"/>
        </w:rPr>
        <w:t>Plans</w:t>
      </w:r>
      <w:r>
        <w:rPr>
          <w:rFonts w:ascii="Arial" w:cs="Arial" w:eastAsia="Arial" w:hAnsi="Arial"/>
          <w:sz w:val="16"/>
          <w:szCs w:val="16"/>
          <w:color w:val="auto"/>
        </w:rPr>
        <w:t>”). With your permission, all assumptions and statements of reliance herein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made without any independent investigation or verification on our part and we express no opinion with respect to the subject matter or accuracy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assumptions or items relied upon.</w:t>
      </w:r>
    </w:p>
    <w:p>
      <w:pPr>
        <w:spacing w:after="0" w:line="211" w:lineRule="exact"/>
        <w:rPr>
          <w:sz w:val="20"/>
          <w:szCs w:val="20"/>
          <w:color w:val="auto"/>
        </w:rPr>
      </w:pPr>
    </w:p>
    <w:p>
      <w:pPr>
        <w:ind w:right="120" w:firstLine="389"/>
        <w:spacing w:after="0" w:line="259" w:lineRule="auto"/>
        <w:rPr>
          <w:sz w:val="20"/>
          <w:szCs w:val="20"/>
          <w:color w:val="auto"/>
        </w:rPr>
      </w:pPr>
      <w:r>
        <w:rPr>
          <w:rFonts w:ascii="Arial" w:cs="Arial" w:eastAsia="Arial" w:hAnsi="Arial"/>
          <w:sz w:val="18"/>
          <w:szCs w:val="18"/>
          <w:color w:val="auto"/>
        </w:rPr>
        <w:t>In connection with this opinion, we have (i) investigated such questions of law, (ii) examined the originals or certified, conformed, facsimile, electronic or reproduction copies of such agreements, instruments, documents and records of the Company, such certificates of public officials and such other documents and (iii) received such information from officers and representatives of the Company and others as we have deemed necessary or appropriate for the purposes of this opinion.</w:t>
      </w:r>
    </w:p>
    <w:p>
      <w:pPr>
        <w:spacing w:after="0" w:line="187" w:lineRule="exact"/>
        <w:rPr>
          <w:sz w:val="20"/>
          <w:szCs w:val="20"/>
          <w:color w:val="auto"/>
        </w:rPr>
      </w:pPr>
    </w:p>
    <w:p>
      <w:pPr>
        <w:ind w:right="320" w:firstLine="389"/>
        <w:spacing w:after="0" w:line="302" w:lineRule="auto"/>
        <w:rPr>
          <w:sz w:val="20"/>
          <w:szCs w:val="20"/>
          <w:color w:val="auto"/>
        </w:rPr>
      </w:pPr>
      <w:r>
        <w:rPr>
          <w:rFonts w:ascii="Arial" w:cs="Arial" w:eastAsia="Arial" w:hAnsi="Arial"/>
          <w:sz w:val="16"/>
          <w:szCs w:val="16"/>
          <w:color w:val="auto"/>
        </w:rPr>
        <w:t>In all such examinations, we have assumed the legal capacity of all natural persons, the genuineness of all signatures, the authenticity of original and certified documents and the conformity to original or certified documents of all copies submitted to us as conformed, facsimile, electronic or reproduction copies.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54" w:lineRule="exact"/>
        <w:rPr>
          <w:sz w:val="20"/>
          <w:szCs w:val="20"/>
          <w:color w:val="auto"/>
        </w:rPr>
      </w:pPr>
    </w:p>
    <w:p>
      <w:pPr>
        <w:ind w:right="20" w:firstLine="389"/>
        <w:spacing w:after="0" w:line="259" w:lineRule="auto"/>
        <w:rPr>
          <w:sz w:val="20"/>
          <w:szCs w:val="20"/>
          <w:color w:val="auto"/>
        </w:rPr>
      </w:pPr>
      <w:r>
        <w:rPr>
          <w:rFonts w:ascii="Arial" w:cs="Arial" w:eastAsia="Arial" w:hAnsi="Arial"/>
          <w:sz w:val="18"/>
          <w:szCs w:val="18"/>
          <w:color w:val="auto"/>
        </w:rPr>
        <w:t>Based upon the foregoing and subject to the limitations, qualifications and assumptions set forth herein, we are of the opinion that the Shares registered pursuant to the Registration Statement to be issued by the Company have been duly authorized and, when issued, delivered and paid for in accordance with the terms of the Plans, as applicable, and the applicable award agreement, for consideration in an amount at least equal to the par value of such Shares, will be validly issued, fully paid and nonassessable.</w:t>
      </w:r>
    </w:p>
    <w:p>
      <w:pPr>
        <w:spacing w:after="0" w:line="187" w:lineRule="exact"/>
        <w:rPr>
          <w:sz w:val="20"/>
          <w:szCs w:val="20"/>
          <w:color w:val="auto"/>
        </w:rPr>
      </w:pPr>
    </w:p>
    <w:p>
      <w:pPr>
        <w:ind w:right="80" w:firstLine="389"/>
        <w:spacing w:after="0" w:line="279" w:lineRule="auto"/>
        <w:rPr>
          <w:sz w:val="20"/>
          <w:szCs w:val="20"/>
          <w:color w:val="auto"/>
        </w:rPr>
      </w:pPr>
      <w:r>
        <w:rPr>
          <w:rFonts w:ascii="Arial" w:cs="Arial" w:eastAsia="Arial" w:hAnsi="Arial"/>
          <w:sz w:val="17"/>
          <w:szCs w:val="17"/>
          <w:color w:val="auto"/>
        </w:rPr>
        <w:t>The opinion expressed herein is limited to the applicable provisions of the General Corporation Law of the State of Delaware, as currently in effect, and no opinion is expressed with respect to any other laws or any effect that such other laws may have on the opinion expressed herein. The opinion expressed herein is limited to the matters stated herein and no opinion is implied or may be inferred beyond the matters expressly stated herein. We undertake no responsibility to update or supplement this letter after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ind w:firstLine="389"/>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this consent, we do not hereby admit that we are in the category of persons whose consent is required under Section 7 of the Securities Act or the rules and regulations of the Commission.</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FRIED, FRANK, HARRIS, SHRIVER &amp; JACOBSON LLP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5, 2019 relating to the financial statement of Tradeweb Markets Inc., appearing in Registration Statement No. 333-230115 on Form S-1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We consent to the incorporation by reference in this Registration Statement on Form S-8 of our report dated March 5, 2019 (March 25, 2019 as to the subsequent events described in Note 22, and June 17, 2019 </w:t>
      </w:r>
      <w:r>
        <w:rPr>
          <w:rFonts w:ascii="Arial" w:cs="Arial" w:eastAsia="Arial" w:hAnsi="Arial"/>
          <w:sz w:val="15"/>
          <w:szCs w:val="15"/>
          <w:color w:val="auto"/>
        </w:rPr>
        <w:t>as to the effects of the recapitalization described in Note 2</w:t>
      </w:r>
      <w:r>
        <w:rPr>
          <w:rFonts w:ascii="Arial" w:cs="Arial" w:eastAsia="Arial" w:hAnsi="Arial"/>
          <w:sz w:val="16"/>
          <w:szCs w:val="16"/>
          <w:color w:val="auto"/>
        </w:rPr>
        <w:t>) relating to the consolidated financial statements of Tradeweb Markets LLC (which report expresses an unqualified opinion and contains an emphasis of matter paragraph relating to the Successor Period financial statements not being comparable to the Predecessor Period financial statements as a result of pushdown accounting) appearing in the Current Report on Form 8-K of Tradeweb Markets Inc. dated June 17, 2019 for the period from October 1, 2018 to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Tradeweb Markets Inc. of our report dated December 17, 2018, except for the impact of the amendment to the LLC agreement discussed in Note 2 to the consolidated financial statements, as to which the date is May 20, 2019, relating to the financial statements of Tradeweb Markets LLC, which appear in Tradeweb Market Inc.’s Current Report on Form 8-K dated June 17,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5"/>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8">
    <w:nsid w:val="12200854"/>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9">
    <w:nsid w:val="4DB127F8"/>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23" Type="http://schemas.openxmlformats.org/officeDocument/2006/relationships/hyperlink" Target="http://www.sec.gov/Archives/edgar/data/1758730/000114420419012677/0001144204-19-012677-index.htm" TargetMode="External"/><Relationship Id="rId24" Type="http://schemas.openxmlformats.org/officeDocument/2006/relationships/hyperlink" Target="http://www.sec.gov/Archives/edgar/data/1758730/000110465919030556/0001104659-19-030556-index.htm" TargetMode="External"/><Relationship Id="rId25" Type="http://schemas.openxmlformats.org/officeDocument/2006/relationships/hyperlink" Target="http://www.sec.gov/Archives/edgar/data/1758730/000114420419018920/0001144204-19-018920-index.htm" TargetMode="External"/><Relationship Id="rId26" Type="http://schemas.openxmlformats.org/officeDocument/2006/relationships/hyperlink" Target="http://www.sec.gov/Archives/edgar/data/1758730/000114420419018100/0001144204-19-018100-index.htm" TargetMode="External"/><Relationship Id="rId29" Type="http://schemas.openxmlformats.org/officeDocument/2006/relationships/hyperlink" Target="http://www.sec.gov/Archives/edgar/data/1758730/000114420419018920/tv518458_ex3-1.htm" TargetMode="External"/><Relationship Id="rId30" Type="http://schemas.openxmlformats.org/officeDocument/2006/relationships/hyperlink" Target="http://www.sec.gov/Archives/edgar/data/1758730/000114420419018920/tv518458_ex3-2.htm" TargetMode="External"/><Relationship Id="rId31" Type="http://schemas.openxmlformats.org/officeDocument/2006/relationships/hyperlink" Target="http://www.sec.gov/Archives/edgar/data/1758730/000114420419015220/tv516514_ex4-1.htm" TargetMode="External"/><Relationship Id="rId32" Type="http://schemas.openxmlformats.org/officeDocument/2006/relationships/hyperlink" Target="http://www.sec.gov/Archives/edgar/data/1758730/000110465919030556/a19-9947_1ex10d8.htm" TargetMode="External"/><Relationship Id="rId33" Type="http://schemas.openxmlformats.org/officeDocument/2006/relationships/hyperlink" Target="http://www.sec.gov/Archives/edgar/data/1758730/000110465919030556/a19-9947_1ex10d9.htm" TargetMode="External"/><Relationship Id="rId34" Type="http://schemas.openxmlformats.org/officeDocument/2006/relationships/hyperlink" Target="http://www.sec.gov/Archives/edgar/data/1758730/000110465919030556/a19-9947_1ex10d10.htm" TargetMode="External"/><Relationship Id="rId35" Type="http://schemas.openxmlformats.org/officeDocument/2006/relationships/hyperlink" Target="http://www.sec.gov/Archives/edgar/data/1758730/000110465919030556/a19-9947_1ex10d11.htm" TargetMode="External"/><Relationship Id="rId36" Type="http://schemas.openxmlformats.org/officeDocument/2006/relationships/hyperlink" Target="file:///data/convert/a19-10124_1ex5d1.htm#Exhibit5_1_090944" TargetMode="External"/><Relationship Id="rId37" Type="http://schemas.openxmlformats.org/officeDocument/2006/relationships/hyperlink" Target="file:///data/convert/a19-10124_1ex23d1.htm#Exhibit23_1_020237" TargetMode="External"/><Relationship Id="rId38" Type="http://schemas.openxmlformats.org/officeDocument/2006/relationships/hyperlink" Target="file:///data/convert/a19-10124_1ex23d2.htm#Exhibit23_2_020333" TargetMode="External"/><Relationship Id="rId39" Type="http://schemas.openxmlformats.org/officeDocument/2006/relationships/hyperlink" Target="file:///data/convert/a19-10124_1ex23d3.htm#Exhibit23_3_010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2019-12-01T15:36:25Z</dcterms:created>
  <dcterms:modified xsi:type="dcterms:W3CDTF">2019-12-01T15:36:25Z</dcterms:modified>
</cp:coreProperties>
</file>