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5399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399405"/>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71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William</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02/10/2026</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8"/>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2" w:lineRule="exact"/>
        <w:rPr>
          <w:sz w:val="24"/>
          <w:szCs w:val="24"/>
          <w:color w:val="auto"/>
        </w:rPr>
      </w:pPr>
    </w:p>
    <w:p>
      <w:pPr>
        <w:sectPr>
          <w:pgSz w:w="11900" w:h="16838" w:orient="portrait"/>
          <w:cols w:equalWidth="0" w:num="3">
            <w:col w:w="3200" w:space="720"/>
            <w:col w:w="3102" w:space="720"/>
            <w:col w:w="3338"/>
          </w:cols>
          <w:pgMar w:left="460" w:top="216" w:right="359" w:bottom="715"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10167</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760" w:space="160"/>
            <w:col w:w="7160"/>
          </w:cols>
          <w:pgMar w:left="460" w:top="216" w:right="359" w:bottom="71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jc w:val="center"/>
              <w:ind w:right="84"/>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02/10/2026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72,450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247,956</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02/10/2026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72,450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115.4508</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175,506</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02/10/2026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48,768</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115.4487</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126,738</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5. Number</w:t>
            </w:r>
          </w:p>
        </w:tc>
        <w:tc>
          <w:tcPr>
            <w:tcW w:w="1620" w:type="dxa"/>
            <w:vAlign w:val="bottom"/>
            <w:gridSpan w:val="3"/>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6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3, 4 and 5)</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1"/>
                <w:szCs w:val="11"/>
                <w:color w:val="auto"/>
              </w:rPr>
            </w:pPr>
          </w:p>
        </w:tc>
        <w:tc>
          <w:tcPr>
            <w:tcW w:w="8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7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3"/>
          </w:tcPr>
          <w:p>
            <w:pPr>
              <w:ind w:left="2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2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02/10/2026</w:t>
            </w:r>
          </w:p>
        </w:tc>
        <w:tc>
          <w:tcPr>
            <w:tcW w:w="1140" w:type="dxa"/>
            <w:vAlign w:val="bottom"/>
          </w:tcPr>
          <w:p>
            <w:pPr>
              <w:spacing w:after="0"/>
              <w:rPr>
                <w:sz w:val="7"/>
                <w:szCs w:val="7"/>
                <w:color w:val="auto"/>
              </w:rPr>
            </w:pPr>
          </w:p>
        </w:tc>
        <w:tc>
          <w:tcPr>
            <w:tcW w:w="400" w:type="dxa"/>
            <w:vAlign w:val="bottom"/>
            <w:vMerge w:val="restart"/>
          </w:tcPr>
          <w:p>
            <w:pPr>
              <w:ind w:left="100"/>
              <w:spacing w:after="0" w:line="156" w:lineRule="exact"/>
              <w:rPr>
                <w:sz w:val="20"/>
                <w:szCs w:val="20"/>
                <w:color w:val="auto"/>
              </w:rPr>
            </w:pPr>
            <w:r>
              <w:rPr>
                <w:rFonts w:ascii="Times New Roman" w:cs="Times New Roman" w:eastAsia="Times New Roman" w:hAnsi="Times New Roman"/>
                <w:sz w:val="18"/>
                <w:szCs w:val="18"/>
                <w:color w:val="0000FF"/>
                <w:vertAlign w:val="subscript"/>
              </w:rPr>
              <w:t>M</w:t>
            </w:r>
            <w:r>
              <w:rPr>
                <w:rFonts w:ascii="Times New Roman" w:cs="Times New Roman" w:eastAsia="Times New Roman" w:hAnsi="Times New Roman"/>
                <w:sz w:val="9"/>
                <w:szCs w:val="9"/>
                <w:color w:val="008000"/>
              </w:rPr>
              <w:t>(1)</w:t>
            </w:r>
          </w:p>
        </w:tc>
        <w:tc>
          <w:tcPr>
            <w:tcW w:w="420" w:type="dxa"/>
            <w:vAlign w:val="bottom"/>
          </w:tcPr>
          <w:p>
            <w:pPr>
              <w:spacing w:after="0"/>
              <w:rPr>
                <w:sz w:val="7"/>
                <w:szCs w:val="7"/>
                <w:color w:val="auto"/>
              </w:rPr>
            </w:pPr>
          </w:p>
        </w:tc>
        <w:tc>
          <w:tcPr>
            <w:tcW w:w="11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0000FF"/>
              </w:rPr>
              <w:t>72,450</w:t>
            </w:r>
          </w:p>
        </w:tc>
        <w:tc>
          <w:tcPr>
            <w:tcW w:w="300" w:type="dxa"/>
            <w:vAlign w:val="bottom"/>
            <w:vMerge w:val="restart"/>
          </w:tcPr>
          <w:p>
            <w:pPr>
              <w:jc w:val="right"/>
              <w:ind w:right="124"/>
              <w:spacing w:after="0"/>
              <w:rPr>
                <w:sz w:val="20"/>
                <w:szCs w:val="20"/>
                <w:color w:val="auto"/>
              </w:rPr>
            </w:pPr>
            <w:r>
              <w:rPr>
                <w:rFonts w:ascii="Times New Roman" w:cs="Times New Roman" w:eastAsia="Times New Roman" w:hAnsi="Times New Roman"/>
                <w:sz w:val="11"/>
                <w:szCs w:val="11"/>
                <w:color w:val="008000"/>
                <w:w w:val="77"/>
              </w:rPr>
              <w:t>(5)</w:t>
            </w:r>
          </w:p>
        </w:tc>
        <w:tc>
          <w:tcPr>
            <w:tcW w:w="84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10/26/2028</w:t>
            </w:r>
          </w:p>
        </w:tc>
        <w:tc>
          <w:tcPr>
            <w:tcW w:w="1220" w:type="dxa"/>
            <w:vAlign w:val="bottom"/>
            <w:gridSpan w:val="2"/>
            <w:vMerge w:val="restart"/>
          </w:tcPr>
          <w:p>
            <w:pPr>
              <w:ind w:left="100"/>
              <w:spacing w:after="0" w:line="155" w:lineRule="exact"/>
              <w:rPr>
                <w:sz w:val="20"/>
                <w:szCs w:val="20"/>
                <w:color w:val="auto"/>
              </w:rPr>
            </w:pPr>
            <w:r>
              <w:rPr>
                <w:rFonts w:ascii="Times New Roman" w:cs="Times New Roman" w:eastAsia="Times New Roman" w:hAnsi="Times New Roman"/>
                <w:sz w:val="13"/>
                <w:szCs w:val="13"/>
                <w:color w:val="0000FF"/>
              </w:rPr>
              <w:t xml:space="preserve">common  </w:t>
            </w:r>
            <w:r>
              <w:rPr>
                <w:rFonts w:ascii="Times New Roman" w:cs="Times New Roman" w:eastAsia="Times New Roman" w:hAnsi="Times New Roman"/>
                <w:sz w:val="16"/>
                <w:szCs w:val="16"/>
                <w:color w:val="0000FF"/>
              </w:rPr>
              <w:t>72,450</w:t>
            </w:r>
          </w:p>
        </w:tc>
        <w:tc>
          <w:tcPr>
            <w:tcW w:w="200" w:type="dxa"/>
            <w:vAlign w:val="bottom"/>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72,450</w:t>
            </w:r>
          </w:p>
        </w:tc>
        <w:tc>
          <w:tcPr>
            <w:tcW w:w="260" w:type="dxa"/>
            <w:vAlign w:val="bottom"/>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3, 2025.</w:t>
      </w:r>
    </w:p>
    <w:p>
      <w:pPr>
        <w:spacing w:after="0" w:line="44" w:lineRule="exact"/>
        <w:rPr>
          <w:rFonts w:ascii="Times New Roman" w:cs="Times New Roman" w:eastAsia="Times New Roman" w:hAnsi="Times New Roman"/>
          <w:sz w:val="13"/>
          <w:szCs w:val="13"/>
          <w:color w:val="008000"/>
        </w:rPr>
      </w:pPr>
    </w:p>
    <w:p>
      <w:pPr>
        <w:ind w:left="40" w:right="46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14,376 unvested restricted stock units ("RSUs") in respect of the issuer's Class A common stock ("Class A Common Stock") which are scheduled to vest on March 15, 2026, (ii) 23,356 unvested RSUs in respect of Class A Common Stock that are scheduled to vest in equal installments on March 15, 2026 and March 15, 2027, and (iii) 30,682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$113.33 to $116.85,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$113.33 to $116.87,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-8890</wp:posOffset>
            </wp:positionV>
            <wp:extent cx="946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spacing w:after="0" w:line="2"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02/12/2026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83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34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98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3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2026-02-12T15:20:50Z</dcterms:created>
  <dcterms:modified xsi:type="dcterms:W3CDTF">2026-02-12T15:20:50Z</dcterms:modified>
</cp:coreProperties>
</file>