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8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4200" w:right="1720" w:hanging="4174"/>
        <w:spacing w:after="0" w:line="390" w:lineRule="auto"/>
        <w:tabs>
          <w:tab w:leader="none" w:pos="36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001-38860</w:t>
      </w:r>
    </w:p>
    <w:p>
      <w:pPr>
        <w:jc w:val="center"/>
        <w:spacing w:after="0"/>
        <w:rPr>
          <w:sz w:val="20"/>
          <w:szCs w:val="20"/>
          <w:color w:val="auto"/>
        </w:rPr>
      </w:pPr>
      <w:r>
        <w:rPr>
          <w:rFonts w:ascii="Times New Roman" w:cs="Times New Roman" w:eastAsia="Times New Roman" w:hAnsi="Times New Roman"/>
          <w:sz w:val="29"/>
          <w:szCs w:val="29"/>
          <w:b w:val="1"/>
          <w:bCs w:val="1"/>
          <w:color w:val="auto"/>
        </w:rPr>
        <w:t>TRADEWEB MARKETS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22" w:lineRule="exact"/>
        <w:rPr>
          <w:sz w:val="24"/>
          <w:szCs w:val="24"/>
          <w:color w:val="auto"/>
        </w:rPr>
      </w:pPr>
    </w:p>
    <w:tbl>
      <w:tblPr>
        <w:tblLayout w:type="fixed"/>
        <w:tblInd w:w="560" w:type="dxa"/>
        <w:tblCellMar>
          <w:top w:w="0" w:type="dxa"/>
          <w:left w:w="0" w:type="dxa"/>
          <w:bottom w:w="0" w:type="dxa"/>
          <w:right w:w="0" w:type="dxa"/>
        </w:tblCellMar>
      </w:tblPr>
      <w:tr>
        <w:trPr>
          <w:trHeight w:val="23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83-2456358</w:t>
            </w:r>
          </w:p>
        </w:tc>
      </w:tr>
      <w:tr>
        <w:trPr>
          <w:trHeight w:val="270"/>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(State of other jurisdiction of incorporation or organization)</w:t>
            </w:r>
          </w:p>
        </w:tc>
        <w:tc>
          <w:tcPr>
            <w:tcW w:w="488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69"/>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245 Park Avenue</w:t>
            </w:r>
          </w:p>
        </w:tc>
        <w:tc>
          <w:tcPr>
            <w:tcW w:w="4880" w:type="dxa"/>
            <w:vAlign w:val="bottom"/>
          </w:tcPr>
          <w:p>
            <w:pPr>
              <w:spacing w:after="0"/>
              <w:rPr>
                <w:sz w:val="24"/>
                <w:szCs w:val="24"/>
                <w:color w:val="auto"/>
              </w:rPr>
            </w:pPr>
          </w:p>
        </w:tc>
      </w:tr>
      <w:tr>
        <w:trPr>
          <w:trHeight w:val="265"/>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48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10167</w:t>
            </w:r>
          </w:p>
        </w:tc>
      </w:tr>
      <w:tr>
        <w:trPr>
          <w:trHeight w:val="243"/>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8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rPr>
              <w:t>(Zip Code)</w:t>
            </w:r>
          </w:p>
        </w:tc>
      </w:tr>
      <w:tr>
        <w:trPr>
          <w:trHeight w:val="338"/>
        </w:trPr>
        <w:tc>
          <w:tcPr>
            <w:tcW w:w="4400" w:type="dxa"/>
            <w:vAlign w:val="bottom"/>
          </w:tcPr>
          <w:p>
            <w:pPr>
              <w:spacing w:after="0"/>
              <w:rPr>
                <w:sz w:val="24"/>
                <w:szCs w:val="24"/>
                <w:color w:val="auto"/>
              </w:rPr>
            </w:pPr>
          </w:p>
        </w:tc>
        <w:tc>
          <w:tcPr>
            <w:tcW w:w="4880" w:type="dxa"/>
            <w:vAlign w:val="bottom"/>
          </w:tcPr>
          <w:p>
            <w:pPr>
              <w:jc w:val="right"/>
              <w:ind w:right="3570"/>
              <w:spacing w:after="0"/>
              <w:rPr>
                <w:sz w:val="20"/>
                <w:szCs w:val="20"/>
                <w:color w:val="auto"/>
              </w:rPr>
            </w:pPr>
            <w:r>
              <w:rPr>
                <w:rFonts w:ascii="Times New Roman" w:cs="Times New Roman" w:eastAsia="Times New Roman" w:hAnsi="Times New Roman"/>
                <w:sz w:val="18"/>
                <w:szCs w:val="18"/>
                <w:b w:val="1"/>
                <w:bCs w:val="1"/>
                <w:color w:val="auto"/>
              </w:rPr>
              <w:t>(646) 430-6000</w:t>
            </w: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324"/>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5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r>
        <w:trPr>
          <w:trHeight w:val="186"/>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Class A common stock, par value $0.00001</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TW</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90" w:lineRule="exact"/>
        <w:rPr>
          <w:sz w:val="24"/>
          <w:szCs w:val="24"/>
          <w:color w:val="auto"/>
        </w:rPr>
      </w:pPr>
    </w:p>
    <w:p>
      <w:pPr>
        <w:ind w:right="2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58" w:lineRule="exact"/>
        <w:rPr>
          <w:sz w:val="24"/>
          <w:szCs w:val="24"/>
          <w:color w:val="auto"/>
        </w:rPr>
      </w:pPr>
    </w:p>
    <w:p>
      <w:pPr>
        <w:ind w:right="10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58" w:lineRule="exact"/>
        <w:rPr>
          <w:sz w:val="24"/>
          <w:szCs w:val="24"/>
          <w:color w:val="auto"/>
        </w:rPr>
      </w:pPr>
    </w:p>
    <w:p>
      <w:pPr>
        <w:ind w:right="4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94" w:lineRule="exact"/>
        <w:rPr>
          <w:sz w:val="24"/>
          <w:szCs w:val="24"/>
          <w:color w:val="auto"/>
        </w:rPr>
      </w:pPr>
    </w:p>
    <w:p>
      <w:pPr>
        <w:ind w:left="20" w:right="760"/>
        <w:spacing w:after="0" w:line="382" w:lineRule="auto"/>
        <w:rPr>
          <w:sz w:val="20"/>
          <w:szCs w:val="20"/>
          <w:color w:val="auto"/>
        </w:rPr>
      </w:pPr>
      <w:r>
        <w:rPr>
          <w:rFonts w:ascii="Times New Roman" w:cs="Times New Roman" w:eastAsia="Times New Roman" w:hAnsi="Times New Roman"/>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18" w:lineRule="exact"/>
        <w:rPr>
          <w:sz w:val="24"/>
          <w:szCs w:val="24"/>
          <w:color w:val="auto"/>
        </w:rPr>
      </w:pPr>
    </w:p>
    <w:p>
      <w:pPr>
        <w:sectPr>
          <w:pgSz w:w="11900" w:h="16838" w:orient="portrait"/>
          <w:cols w:equalWidth="0" w:num="6">
            <w:col w:w="2360" w:space="720"/>
            <w:col w:w="140" w:space="660"/>
            <w:col w:w="2360" w:space="720"/>
            <w:col w:w="120" w:space="660"/>
            <w:col w:w="2360" w:space="720"/>
            <w:col w:w="420"/>
          </w:cols>
          <w:pgMar w:left="320" w:top="229" w:right="339" w:bottom="1440" w:gutter="0" w:footer="0" w:header="0"/>
          <w:type w:val="continuous"/>
        </w:sectPr>
      </w:pPr>
    </w:p>
    <w:p>
      <w:pPr>
        <w:ind w:right="560"/>
        <w:spacing w:after="0" w:line="214"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2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5740" w:type="dxa"/>
            <w:vAlign w:val="bottom"/>
            <w:gridSpan w:val="2"/>
          </w:tcPr>
          <w:p>
            <w:pPr>
              <w:ind w:left="2320"/>
              <w:spacing w:after="0"/>
              <w:rPr>
                <w:sz w:val="20"/>
                <w:szCs w:val="20"/>
                <w:color w:val="auto"/>
              </w:rPr>
            </w:pPr>
            <w:r>
              <w:rPr>
                <w:rFonts w:ascii="Times New Roman" w:cs="Times New Roman" w:eastAsia="Times New Roman" w:hAnsi="Times New Roman"/>
                <w:sz w:val="14"/>
                <w:szCs w:val="14"/>
                <w:color w:val="auto"/>
              </w:rPr>
              <w:t>Class of Stock</w:t>
            </w:r>
          </w:p>
        </w:tc>
        <w:tc>
          <w:tcPr>
            <w:tcW w:w="5500" w:type="dxa"/>
            <w:vAlign w:val="bottom"/>
          </w:tcPr>
          <w:p>
            <w:pPr>
              <w:jc w:val="right"/>
              <w:ind w:right="1448"/>
              <w:spacing w:after="0"/>
              <w:rPr>
                <w:sz w:val="20"/>
                <w:szCs w:val="20"/>
                <w:color w:val="auto"/>
              </w:rPr>
            </w:pPr>
            <w:r>
              <w:rPr>
                <w:rFonts w:ascii="Times New Roman" w:cs="Times New Roman" w:eastAsia="Times New Roman" w:hAnsi="Times New Roman"/>
                <w:sz w:val="14"/>
                <w:szCs w:val="14"/>
                <w:color w:val="auto"/>
              </w:rPr>
              <w:t>Shares Outstanding as of October 23, 2025</w:t>
            </w:r>
          </w:p>
        </w:tc>
      </w:tr>
      <w:tr>
        <w:trPr>
          <w:trHeight w:val="23"/>
        </w:trPr>
        <w:tc>
          <w:tcPr>
            <w:tcW w:w="5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18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116,487,927</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B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96,933,192</w:t>
            </w:r>
          </w:p>
        </w:tc>
      </w:tr>
      <w:tr>
        <w:trPr>
          <w:trHeight w:val="23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C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18,000,000</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D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5,057,268</w:t>
            </w:r>
          </w:p>
        </w:tc>
      </w:tr>
      <w:tr>
        <w:trPr>
          <w:trHeight w:val="186"/>
        </w:trPr>
        <w:tc>
          <w:tcPr>
            <w:tcW w:w="5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tcPr>
          <w:p>
            <w:pPr>
              <w:spacing w:after="0"/>
              <w:rPr>
                <w:sz w:val="16"/>
                <w:szCs w:val="16"/>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00"/>
        </w:trPr>
        <w:tc>
          <w:tcPr>
            <w:tcW w:w="5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SEPTEMBER 30, 2025</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9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3051F2"/>
                <w:w w:val="98"/>
              </w:rPr>
              <w:t>INTRODUCTORY NOTE</w:t>
            </w:r>
          </w:p>
        </w:tc>
        <w:tc>
          <w:tcPr>
            <w:tcW w:w="8720" w:type="dxa"/>
            <w:vAlign w:val="bottom"/>
            <w:gridSpan w:val="19"/>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940" w:type="dxa"/>
            <w:vAlign w:val="bottom"/>
            <w:tcBorders>
              <w:bottom w:val="single" w:sz="8" w:color="3051F2"/>
            </w:tcBorders>
            <w:gridSpan w:val="9"/>
            <w:vMerge w:val="continue"/>
          </w:tcPr>
          <w:p>
            <w:pPr>
              <w:spacing w:after="0"/>
              <w:rPr>
                <w:sz w:val="15"/>
                <w:szCs w:val="15"/>
                <w:color w:val="auto"/>
              </w:rPr>
            </w:pPr>
          </w:p>
        </w:tc>
        <w:tc>
          <w:tcPr>
            <w:tcW w:w="8720" w:type="dxa"/>
            <w:vAlign w:val="bottom"/>
            <w:gridSpan w:val="19"/>
            <w:vMerge w:val="continue"/>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066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USE OF NON-GAAP FINANCIAL MEASURES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66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CAUTIONARY NOTE REGARDING FORWARD-LOOKING STATEMENTS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780" w:type="dxa"/>
            <w:vAlign w:val="bottom"/>
            <w:tcBorders>
              <w:top w:val="single" w:sz="8" w:color="3051F2"/>
            </w:tcBorders>
            <w:gridSpan w:val="21"/>
          </w:tcPr>
          <w:p>
            <w:pPr>
              <w:spacing w:after="0"/>
              <w:rPr>
                <w:sz w:val="20"/>
                <w:szCs w:val="20"/>
                <w:color w:val="auto"/>
              </w:rPr>
            </w:pPr>
            <w:r>
              <w:rPr>
                <w:rFonts w:ascii="Times New Roman" w:cs="Times New Roman" w:eastAsia="Times New Roman" w:hAnsi="Times New Roman"/>
                <w:sz w:val="18"/>
                <w:szCs w:val="18"/>
                <w:color w:val="3051F2"/>
              </w:rPr>
              <w:t>PART I — FINANCIAL INFORMATION</w:t>
            </w:r>
          </w:p>
        </w:tc>
        <w:tc>
          <w:tcPr>
            <w:tcW w:w="488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1.</w:t>
            </w:r>
          </w:p>
        </w:tc>
        <w:tc>
          <w:tcPr>
            <w:tcW w:w="240" w:type="dxa"/>
            <w:vAlign w:val="bottom"/>
            <w:tcBorders>
              <w:top w:val="single" w:sz="8" w:color="3051F2"/>
            </w:tcBorders>
            <w:gridSpan w:val="2"/>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2180" w:type="dxa"/>
            <w:vAlign w:val="bottom"/>
            <w:tcBorders>
              <w:top w:val="single" w:sz="8" w:color="3051F2"/>
            </w:tcBorders>
            <w:gridSpan w:val="11"/>
          </w:tcPr>
          <w:p>
            <w:pPr>
              <w:spacing w:after="0"/>
              <w:rPr>
                <w:sz w:val="20"/>
                <w:szCs w:val="20"/>
                <w:color w:val="auto"/>
              </w:rPr>
            </w:pPr>
            <w:r>
              <w:rPr>
                <w:rFonts w:ascii="Times New Roman" w:cs="Times New Roman" w:eastAsia="Times New Roman" w:hAnsi="Times New Roman"/>
                <w:sz w:val="18"/>
                <w:szCs w:val="18"/>
                <w:color w:val="3051F2"/>
              </w:rPr>
              <w:t>Financial Statements</w:t>
            </w:r>
          </w:p>
        </w:tc>
        <w:tc>
          <w:tcPr>
            <w:tcW w:w="7600" w:type="dxa"/>
            <w:vAlign w:val="bottom"/>
            <w:gridSpan w:val="1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3051F2"/>
              </w:rPr>
              <w:t>Condensed Consolidated Statements of Financial Condition as of September 30, 2025 and December 31, 2024</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190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100" w:type="dxa"/>
            <w:vAlign w:val="bottom"/>
            <w:gridSpan w:val="2"/>
            <w:shd w:val="clear" w:color="auto" w:fill="3051F2"/>
          </w:tcPr>
          <w:p>
            <w:pPr>
              <w:spacing w:after="0" w:line="20" w:lineRule="exact"/>
              <w:rPr>
                <w:sz w:val="1"/>
                <w:szCs w:val="1"/>
                <w:color w:val="auto"/>
              </w:rPr>
            </w:pPr>
          </w:p>
        </w:tc>
        <w:tc>
          <w:tcPr>
            <w:tcW w:w="1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40" w:type="dxa"/>
            <w:vAlign w:val="bottom"/>
            <w:tcBorders>
              <w:bottom w:val="single" w:sz="8" w:color="3051F2"/>
            </w:tcBorders>
            <w:gridSpan w:val="20"/>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Income for the three and nine months ended September 30, 2025 and 2024</w:t>
            </w:r>
          </w:p>
        </w:tc>
        <w:tc>
          <w:tcPr>
            <w:tcW w:w="132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20" w:type="dxa"/>
            <w:vAlign w:val="bottom"/>
            <w:tcBorders>
              <w:bottom w:val="single" w:sz="8" w:color="3051F2"/>
            </w:tcBorders>
            <w:gridSpan w:val="22"/>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Comprehensive Income for the three and nine months ended September 30, 2025 and 2024</w:t>
            </w: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3051F2"/>
              </w:rPr>
              <w:t>Condensed Consolidated Statements of Changes in Equity for the three and nine months ended September 30, 2025 and 2024</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40" w:type="dxa"/>
            <w:vAlign w:val="bottom"/>
            <w:tcBorders>
              <w:top w:val="single" w:sz="8" w:color="3051F2"/>
              <w:bottom w:val="single" w:sz="8" w:color="3051F2"/>
            </w:tcBorders>
            <w:gridSpan w:val="18"/>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Cash Flows for the nine months ended September 30, 2025 and 2024</w:t>
            </w:r>
          </w:p>
        </w:tc>
        <w:tc>
          <w:tcPr>
            <w:tcW w:w="1180" w:type="dxa"/>
            <w:vAlign w:val="bottom"/>
            <w:tcBorders>
              <w:top w:val="single" w:sz="8" w:color="3051F2"/>
            </w:tcBorders>
            <w:gridSpan w:val="3"/>
          </w:tcPr>
          <w:p>
            <w:pPr>
              <w:spacing w:after="0"/>
              <w:rPr>
                <w:sz w:val="24"/>
                <w:szCs w:val="24"/>
                <w:color w:val="auto"/>
              </w:rPr>
            </w:pPr>
          </w:p>
        </w:tc>
        <w:tc>
          <w:tcPr>
            <w:tcW w:w="54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13</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Notes to Condensed Consolidated Financial Statements</w:t>
            </w:r>
          </w:p>
        </w:tc>
        <w:tc>
          <w:tcPr>
            <w:tcW w:w="5560" w:type="dxa"/>
            <w:vAlign w:val="bottom"/>
            <w:gridSpan w:val="10"/>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4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rPr>
              <w:t>Item 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60" w:type="dxa"/>
            <w:vAlign w:val="bottom"/>
            <w:tcBorders>
              <w:bottom w:val="single" w:sz="8" w:color="3051F2"/>
            </w:tcBorders>
            <w:gridSpan w:val="18"/>
          </w:tcPr>
          <w:p>
            <w:pPr>
              <w:spacing w:after="0"/>
              <w:rPr>
                <w:sz w:val="20"/>
                <w:szCs w:val="20"/>
                <w:color w:val="auto"/>
              </w:rPr>
            </w:pPr>
            <w:r>
              <w:rPr>
                <w:rFonts w:ascii="Times New Roman" w:cs="Times New Roman" w:eastAsia="Times New Roman" w:hAnsi="Times New Roman"/>
                <w:sz w:val="18"/>
                <w:szCs w:val="18"/>
                <w:color w:val="3051F2"/>
                <w:w w:val="99"/>
              </w:rPr>
              <w:t>Management’s Discussion and Analysis of Financial Condition and Results of Operations</w:t>
            </w:r>
          </w:p>
        </w:tc>
        <w:tc>
          <w:tcPr>
            <w:tcW w:w="332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3.</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Quantitative and Qualitative Disclosures about Market Risk</w:t>
            </w:r>
          </w:p>
        </w:tc>
        <w:tc>
          <w:tcPr>
            <w:tcW w:w="546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9"/>
              </w:rPr>
              <w:t>Controls and Procedures</w:t>
            </w:r>
          </w:p>
        </w:tc>
        <w:tc>
          <w:tcPr>
            <w:tcW w:w="8000" w:type="dxa"/>
            <w:vAlign w:val="bottom"/>
            <w:gridSpan w:val="15"/>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82</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76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7"/>
              </w:rPr>
              <w:t>PART II — OTHER INFORMATION</w:t>
            </w:r>
          </w:p>
        </w:tc>
        <w:tc>
          <w:tcPr>
            <w:tcW w:w="7900" w:type="dxa"/>
            <w:vAlign w:val="bottom"/>
            <w:gridSpan w:val="1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64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rPr>
              <w:t>Item 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Legal Proceedings</w:t>
            </w:r>
          </w:p>
        </w:tc>
        <w:tc>
          <w:tcPr>
            <w:tcW w:w="8440" w:type="dxa"/>
            <w:vAlign w:val="bottom"/>
            <w:gridSpan w:val="17"/>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3051F2"/>
              </w:rPr>
              <w:t>Item 1A.</w:t>
            </w:r>
          </w:p>
        </w:tc>
        <w:tc>
          <w:tcPr>
            <w:tcW w:w="990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3051F2"/>
              </w:rPr>
              <w:t>Risk Factors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Borders>
              <w:bottom w:val="single" w:sz="8" w:color="3051F2"/>
            </w:tcBorders>
            <w:gridSpan w:val="16"/>
          </w:tcPr>
          <w:p>
            <w:pPr>
              <w:spacing w:after="0"/>
              <w:rPr>
                <w:sz w:val="20"/>
                <w:szCs w:val="20"/>
                <w:color w:val="auto"/>
              </w:rPr>
            </w:pPr>
            <w:r>
              <w:rPr>
                <w:rFonts w:ascii="Times New Roman" w:cs="Times New Roman" w:eastAsia="Times New Roman" w:hAnsi="Times New Roman"/>
                <w:sz w:val="18"/>
                <w:szCs w:val="18"/>
                <w:color w:val="3051F2"/>
                <w:w w:val="99"/>
              </w:rPr>
              <w:t>Unregistered Sales of Equity Securities and Use of Proceeds</w:t>
            </w:r>
          </w:p>
        </w:tc>
        <w:tc>
          <w:tcPr>
            <w:tcW w:w="542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3.</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Defaults Upon Senior Securities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top w:val="single" w:sz="8" w:color="3051F2"/>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9"/>
              </w:rPr>
              <w:t>Mine Safety Disclosures</w:t>
            </w:r>
          </w:p>
        </w:tc>
        <w:tc>
          <w:tcPr>
            <w:tcW w:w="540" w:type="dxa"/>
            <w:vAlign w:val="bottom"/>
            <w:tcBorders>
              <w:top w:val="single" w:sz="8" w:color="3051F2"/>
            </w:tcBorders>
            <w:gridSpan w:val="3"/>
          </w:tcPr>
          <w:p>
            <w:pPr>
              <w:spacing w:after="0"/>
              <w:rPr>
                <w:sz w:val="24"/>
                <w:szCs w:val="24"/>
                <w:color w:val="auto"/>
              </w:rPr>
            </w:pPr>
          </w:p>
        </w:tc>
        <w:tc>
          <w:tcPr>
            <w:tcW w:w="7460" w:type="dxa"/>
            <w:vAlign w:val="bottom"/>
            <w:gridSpan w:val="1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5.</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8"/>
              </w:rPr>
              <w:t>Other Information</w:t>
            </w:r>
          </w:p>
        </w:tc>
        <w:tc>
          <w:tcPr>
            <w:tcW w:w="8460" w:type="dxa"/>
            <w:vAlign w:val="bottom"/>
            <w:gridSpan w:val="1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6.</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Exhibits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2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Signatures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85</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3051F2"/>
            </w:tcBorders>
            <w:gridSpan w:val="3"/>
          </w:tcPr>
          <w:p>
            <w:pPr>
              <w:spacing w:after="0"/>
              <w:rPr>
                <w:sz w:val="24"/>
                <w:szCs w:val="24"/>
                <w:color w:val="auto"/>
              </w:rPr>
            </w:pPr>
          </w:p>
        </w:tc>
        <w:tc>
          <w:tcPr>
            <w:tcW w:w="4140" w:type="dxa"/>
            <w:vAlign w:val="bottom"/>
            <w:gridSpan w:val="14"/>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 references to:</w:t>
      </w:r>
    </w:p>
    <w:p>
      <w:pPr>
        <w:spacing w:after="0" w:line="198" w:lineRule="exact"/>
        <w:rPr>
          <w:sz w:val="20"/>
          <w:szCs w:val="20"/>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its subsidiaries, including TWM LLC and all of its subsidiaries, and any predecessor entities.</w:t>
      </w:r>
    </w:p>
    <w:p>
      <w:pPr>
        <w:spacing w:after="0" w:line="123" w:lineRule="exact"/>
        <w:rPr>
          <w:rFonts w:ascii="Times New Roman" w:cs="Times New Roman" w:eastAsia="Times New Roman" w:hAnsi="Times New Roman"/>
          <w:sz w:val="17"/>
          <w:szCs w:val="17"/>
          <w:color w:val="auto"/>
        </w:rPr>
      </w:pPr>
    </w:p>
    <w:p>
      <w:pPr>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Subsequent to August 2022, there were no LLC Interests (as defined below) held by Bank Stockholders.</w:t>
      </w:r>
    </w:p>
    <w:p>
      <w:pPr>
        <w:spacing w:after="0" w:line="142"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LLC Owners” refer collectively to (i) those Original LLC Owners (as defined below), including an indirect subsidiary of Refinitiv (as defined below), certain of the Bank Stockholders and members of management, that continued to own LLC Interests after the completion of the IPO and Reorganization Transactions and that received shares of our Class C common stock, shares of our Class D common stock or a combination of both, as the case may be, in connection with the completion of the Reorganization Transactions, (ii) any subsequent transferee of any Original LLC Owner that has executed a joinder agreement to TWM LLC’s limited liability company agreement (the “TWM LLC Agreement”) and (iii) solely with respect to the Tax Receivable Agreement (as defined below),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64"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w:t>
      </w:r>
    </w:p>
    <w:p>
      <w:pPr>
        <w:spacing w:after="0" w:line="135"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Interests” refer to the single class of common membership interests of TWM LLC. LLC Interests, other than those held directly or indirectly by Tradeweb Markets Inc., are redeemable or exchangeable in accordance with the TWM LLC Agreement for shares of Class A common stock or Class B common stock, as the case may be, on a one-for-one basis. References to LLC Interests held by Tradeweb Markets Inc. and comparable terminology refer to LLC Interests held by Tradeweb Markets Inc. directly as well as indirectly through direct, wholly-owned subsidiaries of Tradeweb Markets Inc. (which are holding companies with no independent operations).</w:t>
      </w:r>
    </w:p>
    <w:p>
      <w:pPr>
        <w:spacing w:after="0" w:line="142"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Transaction” refer to the acquisition of the Refinitiv business by LSEG (as defined below), in an all share transaction, which closed on January 29, 2021. The Refinitiv business was rebranded by LSEG as LSEG Data &amp; Analytics during the fourth quarter of 2023.</w:t>
      </w:r>
    </w:p>
    <w:p>
      <w:pPr>
        <w:spacing w:after="0" w:line="134"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refer to London Stock Exchange Group plc, and unless otherwise stated or the context otherwise requires, all of its direct and indirect subsidiaries, including Refinitiv.</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LLC Owners” refer to the owners of TWM LLC prior to the Reorganization Transactions.</w:t>
      </w:r>
    </w:p>
    <w:p>
      <w:pPr>
        <w:spacing w:after="0" w:line="198"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14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“Thomson Reuters” or “TR” refer to Thomson Reuters Corporation, which prior to the LSEG Transaction indirectly held a 45% ownership interest in Refinitiv.</w:t>
      </w:r>
    </w:p>
    <w:p>
      <w:pPr>
        <w:spacing w:after="0" w:line="13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Numerical figures included in this Quarterly Report on Form 10-Q have been subject to rounding adjustments. Accordingly, numerical figures shown as totals in various tables may not be arithmetic aggregations of the figures that precede them. In addition, we round certain percentages presented in this Quarterly Report on Form 10-Q to the nearest whole number. As a result, figures expressed as percentages in the text may not total 100% or, when aggregated, may not be the arithmetic aggregation of the percentages that precede them.</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USE OF NON-GAAP FINANCIAL MEASURES</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contains “non-GAAP financial measures,” which are financial measures that are not calculated and presented in accordance with accounting principles generally accepted in the United States of America (“GAAP”).</w:t>
      </w:r>
    </w:p>
    <w:p>
      <w:pPr>
        <w:spacing w:after="0" w:line="135"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(“SEC”) has adopted rules to regulate the use of non-GAAP financial measures in filings with the SEC and in other public disclosures. These rules govern the manner in which non-GAAP financial measures are publicly presented and require, among other things:</w:t>
      </w:r>
    </w:p>
    <w:p>
      <w:pPr>
        <w:spacing w:after="0" w:line="121" w:lineRule="exact"/>
        <w:rPr>
          <w:sz w:val="20"/>
          <w:szCs w:val="20"/>
          <w:color w:val="auto"/>
        </w:rPr>
      </w:pPr>
    </w:p>
    <w:p>
      <w:pPr>
        <w:ind w:left="660" w:right="3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presentation with equal or greater prominence of the most comparable financial measure or measures calculated and presented in accordance with GAAP;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disclosing the purposes for which the registrant’s management uses the non-GAAP financial measure.</w:t>
      </w:r>
    </w:p>
    <w:p>
      <w:pPr>
        <w:spacing w:after="0" w:line="19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Specifically, we make use of the non-GAAP financial measures “Free Cash Flow,” “Adjusted EBITDA,” “Adjusted EBITDA margin,” “Adjusted EBIT,” “Adjusted EBIT margin,” “Adjusted Net Income” and “Adjusted Diluted EPS,” as well as the change in revenue, Adjusted EBITDA margin and Adjusted EBIT margin on a constant currency basis, in evaluating our historical results and future prospects. For the definition of Free Cash Flow and a reconciliation to cash flow from operating activities, its most directly comparable financial measure presented in accordance with GAAP, see Part I, Item 2.</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“Management’s Discussion and Analysis of Financial Condition and Results of Operations—Non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 Item 2. – “Management’s Discussion and Analysis of Financial Condition and Results of Operations—Non-GAAP Financial Measures.” For the definition of constant currency revenue change, see Part I, Item 2. – “Management’s Discussion and Analysis of Financial Condition and Results of Operations—Results of Operations.” Adjusted EBITDA margin and Adjusted EBIT margin are defined as Adjusted EBITDA and Adjusted EBIT, respectively, divided by revenue for the applicable period. For the definition of constant currency change in Adjusted EBITDA margin and Adjusted EBIT margin, see Part I, Item 2. – “Management’s Discussion and Analysis of Financial Condition and Results of Operations—Non-GAAP Financial Measures.”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program is based in part on components of Adjusted EBITDA and Adjusted EBITDA margin.</w:t>
      </w:r>
    </w:p>
    <w:p>
      <w:pPr>
        <w:spacing w:after="0" w:line="14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use constant currency measures as supplemental metrics to evaluate our underlying performance between periods by removing the impact of foreign currency fluctuations. We believe that providing certain percentage changes on a constant currency basis provide useful comparisons of our performance and trends between periods.</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Free Cash Flow, Adjusted EBITDA, Adjusted EBITDA margin, Adjusted EBIT, Adjusted EBIT margin, Adjusted Net Income, Adjusted Diluted EPS and constant currency measures have limitations as analytical tools, and you should not consider such measures either in isolation or as substitutes for analyzing our results as reported under GAAP. Some of these limitations include the following:</w:t>
      </w:r>
    </w:p>
    <w:p>
      <w:pPr>
        <w:spacing w:after="0" w:line="149" w:lineRule="exact"/>
        <w:rPr>
          <w:sz w:val="20"/>
          <w:szCs w:val="20"/>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changes in our working capital needs;</w:t>
      </w:r>
    </w:p>
    <w:p>
      <w:pPr>
        <w:spacing w:after="0" w:line="18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any interest income or expense, or the amounts necessary to service interest or principal payments on any debt obligations;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income tax expense, which is a necessary element of our costs and ability to operate;</w:t>
      </w:r>
    </w:p>
    <w:p>
      <w:pPr>
        <w:spacing w:after="0" w:line="18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3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noncash component of certain employee stock-based compensation expense and associated payroll taxes;</w:t>
      </w:r>
    </w:p>
    <w:p>
      <w:pPr>
        <w:spacing w:after="0" w:line="134"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impact of earnings or charges resulting from matters we consider not to be indicative, on a recurring basis, of our ongoing operations;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measures do not reflect the impact of foreign currency fluctuations; and</w:t>
      </w:r>
    </w:p>
    <w:p>
      <w:pPr>
        <w:spacing w:after="0" w:line="18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Free Cash Flow, Adjusted EBITDA, Adjusted EBIT, Adjusted Net Income, Adjusted Diluted EPS, constant currency measures or similarly titled measures differently than we do, limiting their usefulness as comparative measures.</w:t>
      </w:r>
    </w:p>
    <w:p>
      <w:pPr>
        <w:spacing w:after="0" w:line="13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Free Cash Flow, Adjusted EBITDA, Adjusted EBIT, Adjusted Net Income, Adjusted Diluted EPS and constant currency measures only as supplemental information.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pending or closed acquisitions or other strategic transactions, any potential tax savings we may realize as a result of our organizational structure, our dividend policy, our share repurchase program and our expectations, beliefs, plans, strategies, objectives, prospects or assumptions regarding future events, our performance or otherwise, contained in this Quarterly Report on Form 10-Q are forward-looking statements.</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stock price.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could cause actual results to differ materially from those expressed or implied by the forward-looking statements include:</w:t>
      </w:r>
    </w:p>
    <w:p>
      <w:pPr>
        <w:spacing w:after="0" w:line="19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political, social and market conditions and the impact of these changes on trading volumes;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compete successfully;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adapt our business effectively to keep pace with industry and technological changes;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concentration in the financial services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dealer clients;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defects, errors, failures or delays with our platforms or solutions;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for certain market data and certain key functions;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profitably;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acquisition or to realize benefits from any strategic alliances, partnerships, joint ventures or investments;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and grow the capacity of our trading platforms, systems and infrastructure;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failures, interruptions, delays in services, cybersecurity incidents, catastrophic events and any resulting interruptions;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protection of our intellectual property;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services of our senior management team;</w:t>
      </w:r>
    </w:p>
    <w:p>
      <w:pPr>
        <w:spacing w:after="0" w:line="18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operating our business and incurring additional indebtedness as a result of covenant restrictions under our $500.0 million senior unsecured revolving credit facility (the “2023 Revolving Credit Facility”) with Citibank, N.A., as administrative agent, and the other lenders party thereto;</w:t>
      </w:r>
    </w:p>
    <w:p>
      <w:pPr>
        <w:spacing w:after="0" w:line="14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benefit from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Refinitiv’s, and indirectly LSEG’s, control of us and our status as a controlled company; and</w:t>
      </w:r>
    </w:p>
    <w:p>
      <w:pPr>
        <w:spacing w:after="0" w:line="19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“Risk Factors” of our Annual Report on Form 10-K for the year ended December 31, 2024 (the “2024 Form 10-K”), filed with the SEC and in other filings we may make from time to time with the SEC.</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such forward-looking statements. The forward-looking statements contained in this Quarterly Report on Form 10-Q are not guarantees of future events or performance and future events, our actual results of operations, financial condition or liquidity, and the development of the industry and markets in which we operate, may differ materially from the forward-looking statements contained in this Quarterly Report on Form 10-Q. In addition, even if future events, our results of operations, financial condition or liquidity, and events in the industry and markets in which we operate, are consistent with the forward-looking statements contained in this Quarterly Report on Form 10-Q, they may not be predictive of events, results or developments in future periods.</w:t>
      </w:r>
    </w:p>
    <w:p>
      <w:pPr>
        <w:spacing w:after="0" w:line="14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X.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Tradeweb Markets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Financial Condition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1,907,922</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1,340,302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from brokers and dealers and clearing organizations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91,640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67,805</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54,702</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$298 and $447 at September 30, 2025 and December 31, 2024, respectively</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271,241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222,268</w:t>
            </w:r>
          </w:p>
        </w:tc>
      </w:tr>
      <w:tr>
        <w:trPr>
          <w:trHeight w:val="2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equipment, purchased software and leasehold improvements, net of accumulated depreciation and amortization</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45,973</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right-of-use assets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33,550</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development costs, net of accumulated amortization</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296,721</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3,150,112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3,150,112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1,177,099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1,280,892</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and due from affiliates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8,094</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641,404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659,203</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215,116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107,371</w:t>
            </w:r>
          </w:p>
        </w:tc>
      </w:tr>
      <w:tr>
        <w:trPr>
          <w:trHeight w:val="221"/>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7,995,948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7,267,993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2"/>
        </w:trPr>
        <w:tc>
          <w:tcPr>
            <w:tcW w:w="8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09"/>
        </w:trPr>
        <w:tc>
          <w:tcPr>
            <w:tcW w:w="8440" w:type="dxa"/>
            <w:vAlign w:val="bottom"/>
            <w:tcBorders>
              <w:bottom w:val="single" w:sz="8" w:color="CCEEFF"/>
            </w:tcBorders>
            <w:shd w:val="clear" w:color="auto" w:fill="CCEEFF"/>
          </w:tcPr>
          <w:p>
            <w:pPr>
              <w:ind w:left="35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to brokers and dealers and clearing organizations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67,816</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222,959</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30,800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187,357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95,290</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35,748</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and due to affiliates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42,893</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351,402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372,839</w:t>
            </w:r>
          </w:p>
        </w:tc>
      </w:tr>
      <w:tr>
        <w:trPr>
          <w:trHeight w:val="196"/>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1,060,985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869,108</w:t>
            </w:r>
          </w:p>
        </w:tc>
      </w:tr>
      <w:tr>
        <w:trPr>
          <w:trHeight w:val="135"/>
        </w:trPr>
        <w:tc>
          <w:tcPr>
            <w:tcW w:w="8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148"/>
        </w:trPr>
        <w:tc>
          <w:tcPr>
            <w:tcW w:w="8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$0.00001 par value; 250,000,000 shares authorized; none issued or outstanding</w:t>
            </w:r>
          </w:p>
        </w:tc>
        <w:tc>
          <w:tcPr>
            <w:tcW w:w="1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$0.00001 par value; 1,000,000,000 shares authorized; 116,481,981 and 115,977,551 shares issued and outstanding as of</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2025 and December 31, 2024, respectively</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 $0.00001 par value; 450,000,000 shares authorized; 96,933,192 and 96,933,192 shares issued and outstanding as of</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2025 and December 31, 2024, respectively</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C common stock, $0.00001 par value; 350,000,000 shares authorized; 18,000,000 and 18,000,000 shares issued and outstanding as of</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2025 and December 31, 2024, respectively</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D common stock, $0.00001 par value; 300,000,000 shares authorized; 5,057,268 and 5,073,538 shares issued and outstanding as of</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2025 and December 31, 2024, respectively</w:t>
            </w:r>
          </w:p>
        </w:tc>
        <w:tc>
          <w:tcPr>
            <w:tcW w:w="1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4,865,172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4,813,408</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(9,981)</w:t>
            </w:r>
          </w:p>
        </w:tc>
      </w:tr>
      <w:tr>
        <w:trPr>
          <w:trHeight w:val="2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1,407,775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996,763</w:t>
            </w:r>
          </w:p>
        </w:tc>
      </w:tr>
      <w:tr>
        <w:trPr>
          <w:trHeight w:val="189"/>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stockholders’ equity attributable to Tradeweb Markets Inc.</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6,280,698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5,800,192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654,265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598,693</w:t>
            </w:r>
          </w:p>
        </w:tc>
      </w:tr>
      <w:tr>
        <w:trPr>
          <w:trHeight w:val="19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6,934,963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6,398,885</w:t>
            </w: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7,995,948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7,267,993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480" w:type="dxa"/>
            <w:vAlign w:val="bottom"/>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 fees and commissions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421,309</w:t>
            </w:r>
          </w:p>
        </w:tc>
        <w:tc>
          <w:tcPr>
            <w:tcW w:w="8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373,493</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1,272,421</w:t>
            </w:r>
          </w:p>
        </w:tc>
        <w:tc>
          <w:tcPr>
            <w:tcW w:w="8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1,039,419</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Subscription fees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60,830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173,999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151,633</w:t>
            </w: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LSEG market data fees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70,028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61,593</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5,925</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14,798</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9,960</w:t>
            </w:r>
          </w:p>
        </w:tc>
        <w:tc>
          <w:tcPr>
            <w:tcW w:w="0" w:type="dxa"/>
            <w:vAlign w:val="bottom"/>
          </w:tcPr>
          <w:p>
            <w:pPr>
              <w:spacing w:after="0"/>
              <w:rPr>
                <w:sz w:val="1"/>
                <w:szCs w:val="1"/>
                <w:color w:val="auto"/>
              </w:rPr>
            </w:pPr>
          </w:p>
        </w:tc>
      </w:tr>
      <w:tr>
        <w:trPr>
          <w:trHeight w:val="186"/>
        </w:trPr>
        <w:tc>
          <w:tcPr>
            <w:tcW w:w="56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508,598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448,915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1,531,246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1,262,605</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164,993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511,563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440,484</w:t>
            </w: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64,351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190,098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157,145</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 and communications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33,867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92,807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69,840</w:t>
            </w:r>
          </w:p>
        </w:tc>
        <w:tc>
          <w:tcPr>
            <w:tcW w:w="0" w:type="dxa"/>
            <w:vAlign w:val="bottom"/>
          </w:tcPr>
          <w:p>
            <w:pPr>
              <w:spacing w:after="0"/>
              <w:rPr>
                <w:sz w:val="1"/>
                <w:szCs w:val="1"/>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66,616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44,026</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46,558</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6,641</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17,737</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15,064</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298,227</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289,599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916,921</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773,117</w:t>
            </w: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210,371</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159,316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614,325</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489,488</w:t>
            </w: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 receivable agreement liability adjustment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0" w:type="dxa"/>
            <w:vAlign w:val="bottom"/>
          </w:tcPr>
          <w:p>
            <w:pPr>
              <w:spacing w:after="0"/>
              <w:rPr>
                <w:sz w:val="1"/>
                <w:szCs w:val="1"/>
                <w:color w:val="auto"/>
              </w:rPr>
            </w:pPr>
          </w:p>
        </w:tc>
      </w:tr>
      <w:tr>
        <w:trPr>
          <w:trHeight w:val="206"/>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49,169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59,234</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(3,706)</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39,420</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56,306</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taxes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269,617</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173,673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718,262</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544,156</w:t>
            </w: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(59,068)</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(43,450)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(163,886)</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(134,135)</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210,549</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130,223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554,376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410,021</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24,913</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16,307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66,576</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50,724</w:t>
            </w:r>
          </w:p>
        </w:tc>
        <w:tc>
          <w:tcPr>
            <w:tcW w:w="0" w:type="dxa"/>
            <w:vAlign w:val="bottom"/>
          </w:tcPr>
          <w:p>
            <w:pPr>
              <w:spacing w:after="0"/>
              <w:rPr>
                <w:sz w:val="1"/>
                <w:szCs w:val="1"/>
                <w:color w:val="auto"/>
              </w:rPr>
            </w:pPr>
          </w:p>
        </w:tc>
      </w:tr>
      <w:tr>
        <w:trPr>
          <w:trHeight w:val="221"/>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185,636</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113,916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487,800</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359,297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share attributable to Tradeweb Markets Inc. Class A and B common stockholders: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0.87</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0.86</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213,359,090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213,206,193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213,263,111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213,026,732</w:t>
            </w:r>
          </w:p>
        </w:tc>
        <w:tc>
          <w:tcPr>
            <w:tcW w:w="0" w:type="dxa"/>
            <w:vAlign w:val="bottom"/>
          </w:tcPr>
          <w:p>
            <w:pPr>
              <w:spacing w:after="0"/>
              <w:rPr>
                <w:sz w:val="1"/>
                <w:szCs w:val="1"/>
                <w:color w:val="auto"/>
              </w:rPr>
            </w:pPr>
          </w:p>
        </w:tc>
      </w:tr>
      <w:tr>
        <w:trPr>
          <w:trHeight w:val="188"/>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214,983,486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215,096,974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214,951,279</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214,885,210</w:t>
            </w:r>
          </w:p>
        </w:tc>
        <w:tc>
          <w:tcPr>
            <w:tcW w:w="0" w:type="dxa"/>
            <w:vAlign w:val="bottom"/>
          </w:tcPr>
          <w:p>
            <w:pPr>
              <w:spacing w:after="0"/>
              <w:rPr>
                <w:sz w:val="1"/>
                <w:szCs w:val="1"/>
                <w:color w:val="auto"/>
              </w:rPr>
            </w:pPr>
          </w:p>
        </w:tc>
      </w:tr>
    </w:tbl>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210,549</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130,223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554,376</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410,021</w:t>
            </w:r>
          </w:p>
        </w:tc>
        <w:tc>
          <w:tcPr>
            <w:tcW w:w="0" w:type="dxa"/>
            <w:vAlign w:val="bottom"/>
          </w:tcPr>
          <w:p>
            <w:pPr>
              <w:spacing w:after="0"/>
              <w:rPr>
                <w:sz w:val="1"/>
                <w:szCs w:val="1"/>
                <w:color w:val="auto"/>
              </w:rPr>
            </w:pPr>
          </w:p>
        </w:tc>
      </w:tr>
      <w:tr>
        <w:trPr>
          <w:trHeight w:val="17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Foreign currency translation adjustments, with no tax benefit for each of the three and nine</w:t>
            </w: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(3,471)</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12,743</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7,211</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months ended September 30, 2025 and 2024</w:t>
            </w:r>
          </w:p>
        </w:tc>
        <w:tc>
          <w:tcPr>
            <w:tcW w:w="3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62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Unrealized gain on available-for-sale debt security, net of tax expense of $1,521 and $2,320</w:t>
            </w: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4,412</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7,138</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 the three and nine months ended September 30, 2025</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19,881</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7,211</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211,490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140,237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574,257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417,232</w:t>
            </w:r>
          </w:p>
        </w:tc>
        <w:tc>
          <w:tcPr>
            <w:tcW w:w="0" w:type="dxa"/>
            <w:vAlign w:val="bottom"/>
          </w:tcPr>
          <w:p>
            <w:pPr>
              <w:spacing w:after="0"/>
              <w:rPr>
                <w:sz w:val="1"/>
                <w:szCs w:val="1"/>
                <w:color w:val="auto"/>
              </w:rPr>
            </w:pPr>
          </w:p>
        </w:tc>
      </w:tr>
      <w:tr>
        <w:trPr>
          <w:trHeight w:val="20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66,576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50,724</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Other comprehensive income (loss) attributable to non-controlling interests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0" w:type="dxa"/>
            <w:vAlign w:val="bottom"/>
          </w:tcPr>
          <w:p>
            <w:pPr>
              <w:spacing w:after="0"/>
              <w:rPr>
                <w:sz w:val="1"/>
                <w:szCs w:val="1"/>
                <w:color w:val="auto"/>
              </w:rPr>
            </w:pPr>
          </w:p>
        </w:tc>
      </w:tr>
      <w:tr>
        <w:trPr>
          <w:trHeight w:val="189"/>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Tradeweb Markets Inc.</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186,354</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122,951</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505,531</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365,804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3"/>
                <w:szCs w:val="13"/>
                <w:b w:val="1"/>
                <w:bCs w:val="1"/>
                <w:color w:val="auto"/>
                <w:w w:val="96"/>
              </w:rPr>
              <w:t>Tradeweb Markets Inc. Stockholders’ Equity</w:t>
            </w: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0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C</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D</w:t>
            </w:r>
          </w:p>
        </w:tc>
        <w:tc>
          <w:tcPr>
            <w:tcW w:w="120" w:type="dxa"/>
            <w:vAlign w:val="bottom"/>
          </w:tcPr>
          <w:p>
            <w:pPr>
              <w:spacing w:after="0"/>
              <w:rPr>
                <w:sz w:val="9"/>
                <w:szCs w:val="9"/>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9"/>
                <w:szCs w:val="9"/>
                <w:color w:val="auto"/>
              </w:rPr>
            </w:pPr>
          </w:p>
        </w:tc>
        <w:tc>
          <w:tcPr>
            <w:tcW w:w="10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5"/>
                <w:szCs w:val="15"/>
                <w:color w:val="auto"/>
              </w:rPr>
            </w:pPr>
          </w:p>
        </w:tc>
        <w:tc>
          <w:tcPr>
            <w:tcW w:w="7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4,813,408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996,763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598,693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6,398,885</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28,830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28,830</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($0.12 per share)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(25,573)</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22,708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22,708</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(47,590)</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168,305</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9,056</w:t>
            </w: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4,821,151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1,119,572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608,291</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6,547,205</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8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Tax receivable agreement liability and deferred</w:t>
            </w: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0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($0.12 per share)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(25,606)</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27,779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27,779</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175,522</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9,884</w:t>
            </w:r>
          </w:p>
        </w:tc>
        <w:tc>
          <w:tcPr>
            <w:tcW w:w="0" w:type="dxa"/>
            <w:vAlign w:val="bottom"/>
          </w:tcPr>
          <w:p>
            <w:pPr>
              <w:spacing w:after="0"/>
              <w:rPr>
                <w:sz w:val="1"/>
                <w:szCs w:val="1"/>
                <w:color w:val="auto"/>
              </w:rPr>
            </w:pPr>
          </w:p>
        </w:tc>
      </w:tr>
      <w:tr>
        <w:trPr>
          <w:trHeight w:val="200"/>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4,842,990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1,247,748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628,505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6,726,276</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0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($0.12 per share)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(25,609)</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26,865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26,865</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210,549</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4,865,172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1,407,775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654,265</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6,934,963</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Equity – (Continued)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3"/>
                <w:szCs w:val="13"/>
                <w:b w:val="1"/>
                <w:bCs w:val="1"/>
                <w:color w:val="auto"/>
                <w:w w:val="95"/>
              </w:rPr>
              <w:t>Tradeweb Markets Inc. Stockholders’ Equity</w:t>
            </w: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12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Class C</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D</w:t>
            </w:r>
          </w:p>
        </w:tc>
        <w:tc>
          <w:tcPr>
            <w:tcW w:w="12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9"/>
                <w:szCs w:val="9"/>
                <w:color w:val="auto"/>
              </w:rPr>
            </w:pPr>
          </w:p>
        </w:tc>
        <w:tc>
          <w:tcPr>
            <w:tcW w:w="106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4"/>
                <w:szCs w:val="14"/>
                <w:color w:val="auto"/>
              </w:rPr>
            </w:pPr>
          </w:p>
        </w:tc>
        <w:tc>
          <w:tcPr>
            <w:tcW w:w="7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4,738,758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640,384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557,651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5,931,406</w:t>
            </w: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from equity incentive</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business acquisition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36,692</w:t>
            </w: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18,358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18,358</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(6,095)</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($0.10 per share)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(21,286)</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16,959</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(43,832)</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143,382</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4,771,075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745,240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567,234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6,076,027</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080" w:type="dxa"/>
            <w:vAlign w:val="bottom"/>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Issuance of common stock from equity incentive</w:t>
            </w: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(9,963)</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($0.10 per share)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(21,321)</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24,350</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17,177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136,416</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4,795,562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843,158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576,603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6,207,405</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080" w:type="dxa"/>
            <w:vAlign w:val="bottom"/>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Issuance of common stock from equity incentive</w:t>
            </w: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for business</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0" w:type="dxa"/>
            <w:vAlign w:val="bottom"/>
          </w:tcPr>
          <w:p>
            <w:pPr>
              <w:spacing w:after="0"/>
              <w:rPr>
                <w:sz w:val="1"/>
                <w:szCs w:val="1"/>
                <w:color w:val="auto"/>
              </w:rPr>
            </w:pPr>
          </w:p>
        </w:tc>
      </w:tr>
      <w:tr>
        <w:trPr>
          <w:trHeight w:val="193"/>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 repurchases pursuant to share repurchase</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(25,004)</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(36,164)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(36,164)</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(8,768)</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($0.10 per share)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26,858</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130,223</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10,014</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4,788,780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910,750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585,744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6,286,391</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9"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554,376</w:t>
            </w:r>
          </w:p>
        </w:tc>
        <w:tc>
          <w:tcPr>
            <w:tcW w:w="8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410,021</w:t>
            </w: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190,098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157,145</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75,232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66,286</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23,619</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30,334</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 receivable agreement liability adjustment</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(56,306)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Receivable from/payable to brokers and dealers and clearing organizations,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(11,989)</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17,650</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(27,692)</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(43,672)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(65,548)</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Receivable and due from affiliates/payable and due to affiliates,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tax asset as a result of transferable tax credit purchase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(21,612)</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10,191</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w:t>
            </w:r>
          </w:p>
        </w:tc>
      </w:tr>
      <w:tr>
        <w:trPr>
          <w:trHeight w:val="196"/>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82,076</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36,557</w:t>
            </w:r>
          </w:p>
        </w:tc>
      </w:tr>
      <w:tr>
        <w:trPr>
          <w:trHeight w:val="216"/>
        </w:trPr>
        <w:tc>
          <w:tcPr>
            <w:tcW w:w="8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811,697</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615,716</w:t>
            </w:r>
          </w:p>
        </w:tc>
      </w:tr>
      <w:tr>
        <w:trPr>
          <w:trHeight w:val="17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20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(860,407)</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investments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(38,440)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(11,585)</w:t>
            </w:r>
          </w:p>
        </w:tc>
      </w:tr>
      <w:tr>
        <w:trPr>
          <w:trHeight w:val="217"/>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received from sale of digital assets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furniture, equipment, software and leasehold improvements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(15,729)</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(47,144)</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(35,182)</w:t>
            </w:r>
          </w:p>
        </w:tc>
      </w:tr>
      <w:tr>
        <w:trPr>
          <w:trHeight w:val="190"/>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(91,725)</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(922,903)</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6"/>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 repurchases pursuant to share repurchase programs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(24,391)</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2"/>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stock-based compensation exercises</w:t>
            </w: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6,743</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(76,788)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(63,927)</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(24,826)</w:t>
            </w:r>
          </w:p>
        </w:tc>
      </w:tr>
      <w:tr>
        <w:trPr>
          <w:trHeight w:val="206"/>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(48,985)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(46,558)</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on tax receivable agreement liability</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(21,437)</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(76,956)</w:t>
            </w:r>
          </w:p>
        </w:tc>
      </w:tr>
      <w:tr>
        <w:trPr>
          <w:trHeight w:val="190"/>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(162,212)</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(229,915)</w:t>
            </w:r>
          </w:p>
        </w:tc>
      </w:tr>
      <w:tr>
        <w:trPr>
          <w:trHeight w:val="216"/>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9,860</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4,368</w:t>
            </w:r>
          </w:p>
        </w:tc>
      </w:tr>
      <w:tr>
        <w:trPr>
          <w:trHeight w:val="186"/>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567,620</w:t>
            </w: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(532,734)</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Beginning of period</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1,341,302</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1,707,468</w:t>
            </w: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1,908,922</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1,174,734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43,517</w:t>
            </w:r>
          </w:p>
        </w:tc>
        <w:tc>
          <w:tcPr>
            <w:tcW w:w="8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70,590</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w:t>
            </w: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business acquisitions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40,025</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equipment, software and leasehold improvement additions included in accounts payable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10,189</w:t>
            </w:r>
          </w:p>
        </w:tc>
        <w:tc>
          <w:tcPr>
            <w:tcW w:w="8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 obtained in exchange for lease liabilities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11,374</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Unsettled share repurchases included in other liabilities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Items arising from LLC Interest ownership changes: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Establishment of liabilities under tax receivable agreement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asset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(17,045)</w:t>
            </w: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as shown on the statements of financial condition:</w:t>
            </w:r>
          </w:p>
        </w:tc>
        <w:tc>
          <w:tcPr>
            <w:tcW w:w="160" w:type="dxa"/>
            <w:vAlign w:val="bottom"/>
          </w:tcPr>
          <w:p>
            <w:pPr>
              <w:spacing w:after="0"/>
              <w:rPr>
                <w:sz w:val="17"/>
                <w:szCs w:val="17"/>
                <w:color w:val="auto"/>
              </w:rPr>
            </w:pPr>
          </w:p>
        </w:tc>
        <w:tc>
          <w:tcPr>
            <w:tcW w:w="12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1,907,922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1,340,302</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statement of cash flows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1,908,922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1,341,302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3051F2"/>
                <w:w w:val="98"/>
              </w:rPr>
              <w:t>Note 1</w:t>
            </w:r>
          </w:p>
        </w:tc>
        <w:tc>
          <w:tcPr>
            <w:tcW w:w="80" w:type="dxa"/>
            <w:vAlign w:val="bottom"/>
          </w:tcPr>
          <w:p>
            <w:pPr>
              <w:spacing w:after="0"/>
              <w:rPr>
                <w:sz w:val="17"/>
                <w:szCs w:val="17"/>
                <w:color w:val="auto"/>
              </w:rPr>
            </w:pPr>
          </w:p>
        </w:tc>
        <w:tc>
          <w:tcPr>
            <w:tcW w:w="4760" w:type="dxa"/>
            <w:vAlign w:val="bottom"/>
            <w:gridSpan w:val="18"/>
          </w:tcPr>
          <w:p>
            <w:pPr>
              <w:ind w:left="280"/>
              <w:spacing w:after="0" w:line="196" w:lineRule="exact"/>
              <w:rPr>
                <w:sz w:val="20"/>
                <w:szCs w:val="20"/>
                <w:color w:val="auto"/>
              </w:rPr>
            </w:pPr>
            <w:r>
              <w:rPr>
                <w:rFonts w:ascii="Times New Roman" w:cs="Times New Roman" w:eastAsia="Times New Roman" w:hAnsi="Times New Roman"/>
                <w:sz w:val="18"/>
                <w:szCs w:val="18"/>
                <w:color w:val="3051F2"/>
              </w:rPr>
              <w:t>Organization</w:t>
            </w:r>
          </w:p>
        </w:tc>
        <w:tc>
          <w:tcPr>
            <w:tcW w:w="5880" w:type="dxa"/>
            <w:vAlign w:val="bottom"/>
            <w:gridSpan w:val="2"/>
          </w:tcPr>
          <w:p>
            <w:pPr>
              <w:jc w:val="center"/>
              <w:ind w:left="4810"/>
              <w:spacing w:after="0" w:line="196" w:lineRule="exact"/>
              <w:rPr>
                <w:sz w:val="20"/>
                <w:szCs w:val="20"/>
                <w:color w:val="auto"/>
              </w:rPr>
            </w:pPr>
            <w:r>
              <w:rPr>
                <w:rFonts w:ascii="Times New Roman" w:cs="Times New Roman" w:eastAsia="Times New Roman" w:hAnsi="Times New Roman"/>
                <w:sz w:val="18"/>
                <w:szCs w:val="18"/>
                <w:color w:val="3051F2"/>
                <w:w w:val="99"/>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2</w:t>
            </w:r>
          </w:p>
        </w:tc>
        <w:tc>
          <w:tcPr>
            <w:tcW w:w="80" w:type="dxa"/>
            <w:vAlign w:val="bottom"/>
          </w:tcPr>
          <w:p>
            <w:pPr>
              <w:spacing w:after="0"/>
              <w:rPr>
                <w:sz w:val="21"/>
                <w:szCs w:val="21"/>
                <w:color w:val="auto"/>
              </w:rPr>
            </w:pPr>
          </w:p>
        </w:tc>
        <w:tc>
          <w:tcPr>
            <w:tcW w:w="4760" w:type="dxa"/>
            <w:vAlign w:val="bottom"/>
            <w:gridSpan w:val="18"/>
          </w:tcPr>
          <w:p>
            <w:pPr>
              <w:ind w:left="280"/>
              <w:spacing w:after="0"/>
              <w:rPr>
                <w:sz w:val="20"/>
                <w:szCs w:val="20"/>
                <w:color w:val="auto"/>
              </w:rPr>
            </w:pPr>
            <w:r>
              <w:rPr>
                <w:rFonts w:ascii="Times New Roman" w:cs="Times New Roman" w:eastAsia="Times New Roman" w:hAnsi="Times New Roman"/>
                <w:sz w:val="18"/>
                <w:szCs w:val="18"/>
                <w:color w:val="3051F2"/>
              </w:rPr>
              <w:t>Significant Accounting Policies</w:t>
            </w:r>
          </w:p>
        </w:tc>
        <w:tc>
          <w:tcPr>
            <w:tcW w:w="5880" w:type="dxa"/>
            <w:vAlign w:val="bottom"/>
            <w:gridSpan w:val="2"/>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3</w:t>
            </w:r>
          </w:p>
        </w:tc>
        <w:tc>
          <w:tcPr>
            <w:tcW w:w="80" w:type="dxa"/>
            <w:vAlign w:val="bottom"/>
          </w:tcPr>
          <w:p>
            <w:pPr>
              <w:spacing w:after="0"/>
              <w:rPr>
                <w:sz w:val="21"/>
                <w:szCs w:val="21"/>
                <w:color w:val="auto"/>
              </w:rPr>
            </w:pPr>
          </w:p>
        </w:tc>
        <w:tc>
          <w:tcPr>
            <w:tcW w:w="4760" w:type="dxa"/>
            <w:vAlign w:val="bottom"/>
            <w:gridSpan w:val="18"/>
          </w:tcPr>
          <w:p>
            <w:pPr>
              <w:ind w:left="280"/>
              <w:spacing w:after="0"/>
              <w:rPr>
                <w:sz w:val="20"/>
                <w:szCs w:val="20"/>
                <w:color w:val="auto"/>
              </w:rPr>
            </w:pPr>
            <w:r>
              <w:rPr>
                <w:rFonts w:ascii="Times New Roman" w:cs="Times New Roman" w:eastAsia="Times New Roman" w:hAnsi="Times New Roman"/>
                <w:sz w:val="18"/>
                <w:szCs w:val="18"/>
                <w:color w:val="3051F2"/>
              </w:rPr>
              <w:t>Restricted Cash</w:t>
            </w:r>
          </w:p>
        </w:tc>
        <w:tc>
          <w:tcPr>
            <w:tcW w:w="5880" w:type="dxa"/>
            <w:vAlign w:val="bottom"/>
            <w:gridSpan w:val="2"/>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4</w:t>
            </w:r>
          </w:p>
        </w:tc>
        <w:tc>
          <w:tcPr>
            <w:tcW w:w="80" w:type="dxa"/>
            <w:vAlign w:val="bottom"/>
          </w:tcPr>
          <w:p>
            <w:pPr>
              <w:spacing w:after="0"/>
              <w:rPr>
                <w:sz w:val="20"/>
                <w:szCs w:val="20"/>
                <w:color w:val="auto"/>
              </w:rPr>
            </w:pPr>
          </w:p>
        </w:tc>
        <w:tc>
          <w:tcPr>
            <w:tcW w:w="4760" w:type="dxa"/>
            <w:vAlign w:val="bottom"/>
            <w:gridSpan w:val="18"/>
          </w:tcPr>
          <w:p>
            <w:pPr>
              <w:ind w:left="280"/>
              <w:spacing w:after="0"/>
              <w:rPr>
                <w:sz w:val="20"/>
                <w:szCs w:val="20"/>
                <w:color w:val="auto"/>
              </w:rPr>
            </w:pPr>
            <w:r>
              <w:rPr>
                <w:rFonts w:ascii="Times New Roman" w:cs="Times New Roman" w:eastAsia="Times New Roman" w:hAnsi="Times New Roman"/>
                <w:sz w:val="18"/>
                <w:szCs w:val="18"/>
                <w:color w:val="3051F2"/>
              </w:rPr>
              <w:t>Acquisitions</w:t>
            </w:r>
          </w:p>
        </w:tc>
        <w:tc>
          <w:tcPr>
            <w:tcW w:w="5880" w:type="dxa"/>
            <w:vAlign w:val="bottom"/>
            <w:gridSpan w:val="2"/>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8"/>
              </w:rPr>
              <w:t>Note 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5"/>
              </w:rPr>
              <w:t>Revenue</w:t>
            </w:r>
          </w:p>
        </w:tc>
        <w:tc>
          <w:tcPr>
            <w:tcW w:w="200" w:type="dxa"/>
            <w:vAlign w:val="bottom"/>
            <w:tcBorders>
              <w:top w:val="single" w:sz="8" w:color="3051F2"/>
              <w:bottom w:val="single" w:sz="8" w:color="3051F2"/>
            </w:tcBorders>
          </w:tcPr>
          <w:p>
            <w:pPr>
              <w:spacing w:after="0"/>
              <w:rPr>
                <w:sz w:val="19"/>
                <w:szCs w:val="19"/>
                <w:color w:val="auto"/>
              </w:rPr>
            </w:pPr>
          </w:p>
        </w:tc>
        <w:tc>
          <w:tcPr>
            <w:tcW w:w="120" w:type="dxa"/>
            <w:vAlign w:val="bottom"/>
            <w:tcBorders>
              <w:top w:val="single" w:sz="8" w:color="3051F2"/>
              <w:bottom w:val="single" w:sz="8" w:color="3051F2"/>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80" w:type="dxa"/>
            <w:vAlign w:val="bottom"/>
            <w:gridSpan w:val="2"/>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30</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6</w:t>
            </w:r>
          </w:p>
        </w:tc>
        <w:tc>
          <w:tcPr>
            <w:tcW w:w="280" w:type="dxa"/>
            <w:vAlign w:val="bottom"/>
          </w:tcPr>
          <w:p>
            <w:pPr>
              <w:spacing w:after="0"/>
              <w:rPr>
                <w:sz w:val="18"/>
                <w:szCs w:val="18"/>
                <w:color w:val="auto"/>
              </w:rPr>
            </w:pPr>
          </w:p>
        </w:tc>
        <w:tc>
          <w:tcPr>
            <w:tcW w:w="100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8"/>
                <w:szCs w:val="18"/>
                <w:color w:val="3051F2"/>
                <w:w w:val="96"/>
              </w:rPr>
              <w:t>Income Taxes</w:t>
            </w: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30</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7</w:t>
            </w:r>
          </w:p>
        </w:tc>
        <w:tc>
          <w:tcPr>
            <w:tcW w:w="280" w:type="dxa"/>
            <w:vAlign w:val="bottom"/>
          </w:tcPr>
          <w:p>
            <w:pPr>
              <w:spacing w:after="0"/>
              <w:rPr>
                <w:sz w:val="18"/>
                <w:szCs w:val="18"/>
                <w:color w:val="auto"/>
              </w:rPr>
            </w:pPr>
          </w:p>
        </w:tc>
        <w:tc>
          <w:tcPr>
            <w:tcW w:w="196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8"/>
                <w:szCs w:val="18"/>
                <w:color w:val="3051F2"/>
                <w:w w:val="98"/>
              </w:rPr>
              <w:t>Tax Receivable Agreement</w:t>
            </w: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31</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8</w:t>
            </w:r>
          </w:p>
        </w:tc>
        <w:tc>
          <w:tcPr>
            <w:tcW w:w="280" w:type="dxa"/>
            <w:vAlign w:val="bottom"/>
          </w:tcPr>
          <w:p>
            <w:pPr>
              <w:spacing w:after="0"/>
              <w:rPr>
                <w:sz w:val="18"/>
                <w:szCs w:val="18"/>
                <w:color w:val="auto"/>
              </w:rPr>
            </w:pPr>
          </w:p>
        </w:tc>
        <w:tc>
          <w:tcPr>
            <w:tcW w:w="1860" w:type="dxa"/>
            <w:vAlign w:val="bottom"/>
            <w:tcBorders>
              <w:bottom w:val="single" w:sz="8" w:color="3051F2"/>
            </w:tcBorders>
            <w:gridSpan w:val="8"/>
          </w:tcPr>
          <w:p>
            <w:pPr>
              <w:spacing w:after="0"/>
              <w:rPr>
                <w:sz w:val="20"/>
                <w:szCs w:val="20"/>
                <w:color w:val="auto"/>
              </w:rPr>
            </w:pPr>
            <w:r>
              <w:rPr>
                <w:rFonts w:ascii="Times New Roman" w:cs="Times New Roman" w:eastAsia="Times New Roman" w:hAnsi="Times New Roman"/>
                <w:sz w:val="18"/>
                <w:szCs w:val="18"/>
                <w:color w:val="3051F2"/>
                <w:w w:val="99"/>
              </w:rPr>
              <w:t>Non-Controlling Interests</w:t>
            </w:r>
          </w:p>
        </w:tc>
        <w:tc>
          <w:tcPr>
            <w:tcW w:w="6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31</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9</w:t>
            </w:r>
          </w:p>
        </w:tc>
        <w:tc>
          <w:tcPr>
            <w:tcW w:w="280" w:type="dxa"/>
            <w:vAlign w:val="bottom"/>
          </w:tcPr>
          <w:p>
            <w:pPr>
              <w:spacing w:after="0"/>
              <w:rPr>
                <w:sz w:val="18"/>
                <w:szCs w:val="18"/>
                <w:color w:val="auto"/>
              </w:rPr>
            </w:pPr>
          </w:p>
        </w:tc>
        <w:tc>
          <w:tcPr>
            <w:tcW w:w="4300" w:type="dxa"/>
            <w:vAlign w:val="bottom"/>
            <w:tcBorders>
              <w:bottom w:val="single" w:sz="8" w:color="3051F2"/>
            </w:tcBorders>
            <w:gridSpan w:val="16"/>
          </w:tcPr>
          <w:p>
            <w:pPr>
              <w:spacing w:after="0"/>
              <w:rPr>
                <w:sz w:val="20"/>
                <w:szCs w:val="20"/>
                <w:color w:val="auto"/>
              </w:rPr>
            </w:pPr>
            <w:r>
              <w:rPr>
                <w:rFonts w:ascii="Times New Roman" w:cs="Times New Roman" w:eastAsia="Times New Roman" w:hAnsi="Times New Roman"/>
                <w:sz w:val="18"/>
                <w:szCs w:val="18"/>
                <w:color w:val="3051F2"/>
                <w:w w:val="99"/>
              </w:rPr>
              <w:t>Stockholders’ Equity and Stock-Based Compensation Plans</w:t>
            </w: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34</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10</w:t>
            </w:r>
          </w:p>
        </w:tc>
        <w:tc>
          <w:tcPr>
            <w:tcW w:w="280" w:type="dxa"/>
            <w:vAlign w:val="bottom"/>
          </w:tcPr>
          <w:p>
            <w:pPr>
              <w:spacing w:after="0"/>
              <w:rPr>
                <w:sz w:val="18"/>
                <w:szCs w:val="18"/>
                <w:color w:val="auto"/>
              </w:rPr>
            </w:pPr>
          </w:p>
        </w:tc>
        <w:tc>
          <w:tcPr>
            <w:tcW w:w="192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7"/>
              </w:rPr>
              <w:t>Related Party Transactions</w:t>
            </w: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36</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11</w:t>
            </w:r>
          </w:p>
        </w:tc>
        <w:tc>
          <w:tcPr>
            <w:tcW w:w="280" w:type="dxa"/>
            <w:vAlign w:val="bottom"/>
          </w:tcPr>
          <w:p>
            <w:pPr>
              <w:spacing w:after="0"/>
              <w:rPr>
                <w:sz w:val="18"/>
                <w:szCs w:val="18"/>
                <w:color w:val="auto"/>
              </w:rPr>
            </w:pPr>
          </w:p>
        </w:tc>
        <w:tc>
          <w:tcPr>
            <w:tcW w:w="382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8"/>
              </w:rPr>
              <w:t>Fair Value of Financial Instruments and Other Assets</w:t>
            </w:r>
          </w:p>
        </w:tc>
        <w:tc>
          <w:tcPr>
            <w:tcW w:w="66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41</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12</w:t>
            </w:r>
          </w:p>
        </w:tc>
        <w:tc>
          <w:tcPr>
            <w:tcW w:w="280" w:type="dxa"/>
            <w:vAlign w:val="bottom"/>
          </w:tcPr>
          <w:p>
            <w:pPr>
              <w:spacing w:after="0"/>
              <w:rPr>
                <w:sz w:val="18"/>
                <w:szCs w:val="18"/>
                <w:color w:val="auto"/>
              </w:rPr>
            </w:pPr>
          </w:p>
        </w:tc>
        <w:tc>
          <w:tcPr>
            <w:tcW w:w="82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6"/>
              </w:rPr>
              <w:t>Credit Risk</w:t>
            </w:r>
          </w:p>
        </w:tc>
        <w:tc>
          <w:tcPr>
            <w:tcW w:w="5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42</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13</w:t>
            </w:r>
          </w:p>
        </w:tc>
        <w:tc>
          <w:tcPr>
            <w:tcW w:w="280" w:type="dxa"/>
            <w:vAlign w:val="bottom"/>
          </w:tcPr>
          <w:p>
            <w:pPr>
              <w:spacing w:after="0"/>
              <w:rPr>
                <w:sz w:val="18"/>
                <w:szCs w:val="18"/>
                <w:color w:val="auto"/>
              </w:rPr>
            </w:pPr>
          </w:p>
        </w:tc>
        <w:tc>
          <w:tcPr>
            <w:tcW w:w="240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18"/>
                <w:szCs w:val="18"/>
                <w:color w:val="3051F2"/>
                <w:w w:val="99"/>
              </w:rPr>
              <w:t>Commitments and Contingencies</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44</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14</w:t>
            </w:r>
          </w:p>
        </w:tc>
        <w:tc>
          <w:tcPr>
            <w:tcW w:w="280" w:type="dxa"/>
            <w:vAlign w:val="bottom"/>
          </w:tcPr>
          <w:p>
            <w:pPr>
              <w:spacing w:after="0"/>
              <w:rPr>
                <w:sz w:val="18"/>
                <w:szCs w:val="18"/>
                <w:color w:val="auto"/>
              </w:rPr>
            </w:pPr>
          </w:p>
        </w:tc>
        <w:tc>
          <w:tcPr>
            <w:tcW w:w="138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Earnings Per Share</w:t>
            </w:r>
          </w:p>
        </w:tc>
        <w:tc>
          <w:tcPr>
            <w:tcW w:w="1040" w:type="dxa"/>
            <w:vAlign w:val="bottom"/>
            <w:gridSpan w:val="6"/>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15</w:t>
            </w:r>
          </w:p>
        </w:tc>
        <w:tc>
          <w:tcPr>
            <w:tcW w:w="280" w:type="dxa"/>
            <w:vAlign w:val="bottom"/>
          </w:tcPr>
          <w:p>
            <w:pPr>
              <w:spacing w:after="0"/>
              <w:rPr>
                <w:sz w:val="18"/>
                <w:szCs w:val="18"/>
                <w:color w:val="auto"/>
              </w:rPr>
            </w:pPr>
          </w:p>
        </w:tc>
        <w:tc>
          <w:tcPr>
            <w:tcW w:w="242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Regulatory Capital Requirements</w:t>
            </w:r>
          </w:p>
        </w:tc>
        <w:tc>
          <w:tcPr>
            <w:tcW w:w="98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46</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16</w:t>
            </w:r>
          </w:p>
        </w:tc>
        <w:tc>
          <w:tcPr>
            <w:tcW w:w="280" w:type="dxa"/>
            <w:vAlign w:val="bottom"/>
          </w:tcPr>
          <w:p>
            <w:pPr>
              <w:spacing w:after="0"/>
              <w:rPr>
                <w:sz w:val="18"/>
                <w:szCs w:val="18"/>
                <w:color w:val="auto"/>
              </w:rPr>
            </w:pPr>
          </w:p>
        </w:tc>
        <w:tc>
          <w:tcPr>
            <w:tcW w:w="340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9"/>
              </w:rPr>
              <w:t>Business Segment and Geographic Information</w:t>
            </w: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47</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17</w:t>
            </w:r>
          </w:p>
        </w:tc>
        <w:tc>
          <w:tcPr>
            <w:tcW w:w="280" w:type="dxa"/>
            <w:vAlign w:val="bottom"/>
          </w:tcPr>
          <w:p>
            <w:pPr>
              <w:spacing w:after="0"/>
              <w:rPr>
                <w:sz w:val="18"/>
                <w:szCs w:val="18"/>
                <w:color w:val="auto"/>
              </w:rPr>
            </w:pPr>
          </w:p>
        </w:tc>
        <w:tc>
          <w:tcPr>
            <w:tcW w:w="136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8"/>
              </w:rPr>
              <w:t>Subsequent Events</w:t>
            </w:r>
          </w:p>
        </w:tc>
        <w:tc>
          <w:tcPr>
            <w:tcW w:w="3120" w:type="dxa"/>
            <w:vAlign w:val="bottom"/>
            <w:gridSpan w:val="11"/>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00" w:type="dxa"/>
            <w:vAlign w:val="bottom"/>
            <w:vMerge w:val="restart"/>
          </w:tcPr>
          <w:p>
            <w:pPr>
              <w:jc w:val="right"/>
              <w:ind w:right="445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(as defined below) owned an indirect majority ownership interest in the Company (as defined below).</w:t>
      </w:r>
    </w:p>
    <w:p>
      <w:pPr>
        <w:spacing w:after="0" w:line="13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January 29, 2021, London Stock Exchange Group plc (“LSEG”) completed its acquisition of the Refinitiv business from a consortium, including certain investment funds affiliated with The Blackstone Group Inc. (f/k/a The Blackstone Group L.P.) (“Blackstone”) as well as Thomson Reuters Corporation (“TR”), in an all share transaction (the “LSEG Transaction”).</w:t>
      </w:r>
    </w:p>
    <w:p>
      <w:pPr>
        <w:spacing w:after="0" w:line="17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 As used herein, “Refinitiv,” prior to the LSEG Transaction, means Refinitiv Holdings Limited, and unless otherwise stated or the context otherwise requires, all of its direct and indirect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the Company. The Refinitiv business was rebranded by LSEG as LSEG Data &amp; Analytics during the fourth quarter of 2023.</w:t>
      </w:r>
    </w:p>
    <w:p>
      <w:pPr>
        <w:spacing w:after="0" w:line="131"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condensed consolidated financial statements. As of both September 30, 2025 and December 31, 2024, Tradeweb Markets Inc. owned 90.2% of TWM LLC and the non-controlling interest holders owned the remaining 9.8% of TWM LLC. References to LLC Interests held by Tradeweb Markets Inc. and comparable terminology refer to LLC Interests held by Tradeweb Markets Inc. directly as well as indirectly through direct, wholly-owned subsidiaries of Tradeweb Markets Inc. (which are holding companies with no independent operations).</w:t>
      </w:r>
    </w:p>
    <w:p>
      <w:pPr>
        <w:spacing w:after="0" w:line="1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4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LLC Interests, other than those held by the Corporation, are redeemable or exchangeable in accordance with the TWM LLC Agreement for shares of Class A common stock, par value $0.00001 per share, of the Corporation (the “Class A common stock”) or Class B common stock, par value $0.00001 per share, of the Corporation (the “Class B common stock”), as the case may be, on a one-for-one basis.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As used herein, references to “Continuing LLC Owners” refer collectively to (i) those owners of TWM LLC prior to the Reorganization Transactions (the “Original LLC Owners”), including an indirect subsidiary of Refinitiv, certain investment and commercial banks (collectively, the “Bank Stockholders”), and members of management, that continued to own LLC Interests after the completion of the IPO and Reorganization Transactions and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(ii) any subsequent transferee of any Original LLC Owner that has executed a joinder agreement to the TWM LLC Agreement and (iii) solely with respect to the Tax Receivable Agreement (as defined in Note 7 – Tax Receivable Agreement),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4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is a leader in building and operating electronic marketplaces for a global network of clients across the institutional, wholesale, retail and corporates client sectors. The Company’s principal subsidiaries include:</w:t>
      </w:r>
    </w:p>
    <w:p>
      <w:pPr>
        <w:spacing w:after="0" w:line="121" w:lineRule="exact"/>
        <w:rPr>
          <w:sz w:val="20"/>
          <w:szCs w:val="20"/>
          <w:color w:val="auto"/>
        </w:rPr>
      </w:pPr>
    </w:p>
    <w:p>
      <w:pPr>
        <w:ind w:left="660" w:right="1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LLC (“TWL”), a registered broker-dealer under the Securities Exchange Act of 1934, as amended (the “Exchange Act”), a member of the Financial Industry Regulatory Authority (“FINRA”), a member of the Municipal Securities Rulemaking Board (“MSRB”), a registered independent introducing broker with the Commodities Future Trading Commission (“CFTC”) and a member of the National Futures Association (“NFA”).</w:t>
      </w:r>
    </w:p>
    <w:p>
      <w:pPr>
        <w:spacing w:after="0" w:line="139"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Dealerweb LLC (“DW”) (formerly known as Hilliard Farber &amp; Co., Inc. and Dealerweb Inc.), a registered broker-dealer under the Exchange Act and a member of FINRA and MSRB. DW is also registered as an introducing broker with the CFTC and a member of the NFA. Effective on January 2, 2025, Dealerweb Inc. merged with and into Dealerweb LLC, with Dealerweb LLC being the surviving entity.</w:t>
      </w:r>
    </w:p>
    <w:p>
      <w:pPr>
        <w:spacing w:after="0" w:line="14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Direct LLC (“TWD”) (formerly known as BondDesk Trading LLC), a registered broker-dealer under the Exchange Act and a member of FINRA and MSRB.</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Cash Distributors LLC (“ICDLC”), acquired on August 1, 2024, a registered broker-dealer under the Exchange Act and a member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w:t>
      </w:r>
    </w:p>
    <w:p>
      <w:pPr>
        <w:spacing w:after="0" w:line="16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Europe Limited (“TEL”), a MiFID Investment Firm regulated by the Financial Conduct Authority (the “FCA”) in the UK and certain other global regulators and that maintains branches in Asia.</w:t>
      </w:r>
    </w:p>
    <w:p>
      <w:pPr>
        <w:spacing w:after="0" w:line="134"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 SEF LLC (“TW SEF”), a Swap Execution Facility (“SEF”) regulated by the CFTC and certain other global regulators and a registered security-based swap execution facility (“SBSEF”) under the Exchange Act.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 SEF LLC (“DW SEF”), a SEF regulated by the CFTC and certain other global regulators.</w:t>
      </w:r>
    </w:p>
    <w:p>
      <w:pPr>
        <w:spacing w:after="0" w:line="18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Japan K.K. (“TWJ”), a security house regulated by the Japanese Financial Services Agency (“JFSA”) and the Japan Securities Dealers Association (“JSDA”).</w:t>
      </w:r>
    </w:p>
    <w:p>
      <w:pPr>
        <w:spacing w:after="0" w:line="13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 B.V. (“TWEU”), a MiFID Investment Firm regulated by the Netherlands Authority for the Financial Markets (“AFM”), the De Nederlandsche Bank (“DNB”) and certain other global regulators and that maintains branches in France and Italy.</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Limited (“TESL”), an Investment Firm (“BIPRU Firm”) regulated by the FCA in the UK with an exemption from the Australian Securities &amp; Investments Commission (“ASIC”) from having to hold an Australian financial services license.</w:t>
      </w:r>
    </w:p>
    <w:p>
      <w:pPr>
        <w:spacing w:after="0" w:line="12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Information Technology Services (Shanghai) Co., Ltd is a wholly-owned foreign enterprise (“WOFE”) in China. Its business scope includes information, data and technology related services including development, sales, import and export and consulting. The Tradeweb offshore electronic trading platform is recognized by the People’s Bank of China (“PBOC”) for the provision of Bond Connect, CIBM Direct RFQ and Swap Connect.</w:t>
      </w:r>
    </w:p>
    <w:p>
      <w:pPr>
        <w:spacing w:after="0" w:line="152"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B.V. (“TESBV”), a MiFID Investment Firm authorized and regulated by the AFM, with permission to trade on a matched principal basis.</w:t>
      </w:r>
    </w:p>
    <w:p>
      <w:pPr>
        <w:spacing w:after="0" w:line="12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Australia Pty Ltd (formerly Yieldbroker Pty Limited) (“YB” or “Yieldbroker”), acquired in August 2023, a Tier 1 Australian Markets Licensee in Australia, regulated by ASIC.</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60" w:right="400" w:hanging="328"/>
        <w:spacing w:after="0" w:line="312"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Tradeweb (DIFC) Limited (“TDIFC”), an Authorized Firm regulated by the Dubai Financial Services Authority (“DFSA”) with a license for “arranging deals in investments” for users to access the Company’s various trading venues that are also separately recognized by the DFSA.</w:t>
      </w:r>
    </w:p>
    <w:p>
      <w:pPr>
        <w:spacing w:after="0" w:line="112" w:lineRule="exact"/>
        <w:rPr>
          <w:rFonts w:ascii="Times New Roman" w:cs="Times New Roman" w:eastAsia="Times New Roman" w:hAnsi="Times New Roman"/>
          <w:sz w:val="17"/>
          <w:szCs w:val="17"/>
          <w:color w:val="auto"/>
        </w:rPr>
      </w:pPr>
    </w:p>
    <w:p>
      <w:pPr>
        <w:ind w:left="660" w:hanging="328"/>
        <w:spacing w:after="0" w:line="312"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 Technology and Trading Private Limited (“TTTL”), a private limited company incorporated in Mumbai, India, which is pending regulatory approval from the Reserve Bank of India as an Electronic Trading Platform for the trading of Indian Government Bonds and other local securities.</w:t>
      </w:r>
    </w:p>
    <w:p>
      <w:pPr>
        <w:spacing w:after="0" w:line="9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Brasil Ltda (“TWB”), a limited liability company incorporated in Sao Paulo, Brazil.</w:t>
      </w:r>
    </w:p>
    <w:p>
      <w:pPr>
        <w:spacing w:after="0" w:line="184"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Cash Distributors Limited (“ICDLT”), acquired on August 1, 2024, a firm engaged in the provision of intermediary services authorized and regulated by the FCA in the UK.</w:t>
      </w:r>
    </w:p>
    <w:p>
      <w:pPr>
        <w:spacing w:after="0" w:line="134"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ICD Europa - Empresa de Investimento, S.A. (“ICDEU”), acquired on August 1, 2024, was an investment firm regulated by the Comissão do Mercado de Valores Mobiliários (“CMVM”) in Portugal. ICDEU was dissolved and liquidated on June 17, 2025.</w:t>
      </w:r>
    </w:p>
    <w:p>
      <w:pPr>
        <w:spacing w:after="0" w:line="12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Company, a Joint Stock Company incorporated in the Kingdom of Saudi Arabia (“TWSA”), authorized and regulated by the Capital Markets Authority to operate an Alternative Trading System.</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August 2024, the Company acquired Institutional Cash Distributors (“ICD”) by purchasing all of the outstanding equity interests of each of ICD Intermediate Holdco 1, LLC, SCIC - ICD Blocker 1, Inc. and Parthenon Investors V ICD Blocker, Inc. (the “ICD Acquisition”). ICD is an institutional investment technology provider for corporate treasury organizations trading short-term investments. ICD’s flagship products include ICD Portal and ICD Portfolio Analytics. The portal is a one-stop shop to research, trade, analyze and report on investments across more than 40 available investment providers primarily offering money market funds and access to other short term products including deposits, fixed term funds and separately managed accounts (“SMAs”) (collectively referred to herein as “money market funds”). Portfolio Analytics is an AI-driven cloud solution for aggregating positions across a corporate treasury’s entire portfolio for analysis and reporting. With the 2024 acquisition of ICD and its proprietary technology, the Company added “corporates” as a client channel, serving corporate treasury professionals, complementing the Company’s previously existing focus on institutional, wholesale and retail clients. See Note 4 – Acquisitions for additional details on this acquisition.</w:t>
      </w:r>
    </w:p>
    <w:p>
      <w:pPr>
        <w:spacing w:after="0" w:line="161"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7"/>
          <w:szCs w:val="17"/>
          <w:color w:val="auto"/>
        </w:rPr>
        <w:t>In January 2024, the Company acquired R8FIN Holdings LP (together with its subsidiaries, “r8fin”) (the “r8fin Acquisition”). r8fin provides a suite of algorithmic-based tools as well as a thin-client execution management system (“EMS”) trading application to facilitate futures and cash trades. The solutions complement Tradeweb’s existing Dealerweb Active Streams, Dealerweb Central Limit Order Book (“CLOB”), Tradeweb Request-for-Quote (“RFQ”) and Tradeweb Automated Intelligent Execution (“AiEX”) offerings. See Note 4 – Acquisitions for additional details on this acquisition.</w:t>
      </w:r>
    </w:p>
    <w:p>
      <w:pPr>
        <w:spacing w:after="0" w:line="12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August 2023, the Company acquired Yieldbroker, a leading Australian trading platform for Australian and New Zealand government bonds and interest rate derivatives, covering the institutional and wholesale client sector (the “Yieldbroker Acquisition”). This acquisition combined Australia and New Zealand’s highly attractive, fast-growing markets with Tradeweb’s international reach and scale.</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June 2021, the Company acquired Nasdaq’s U.S. fixed income electronic trading platform, formerly known as eSpeed (the “NFI Acquisition”), which is a fully executable CLOB for electronic trading in on-the-run (“OTR”) U.S. government bonds.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w:t>
      </w:r>
    </w:p>
    <w:p>
      <w:pPr>
        <w:spacing w:after="0" w:line="185" w:lineRule="exact"/>
        <w:rPr>
          <w:sz w:val="20"/>
          <w:szCs w:val="20"/>
          <w:color w:val="auto"/>
        </w:rPr>
      </w:pPr>
    </w:p>
    <w:p>
      <w:pPr>
        <w:ind w:left="660" w:right="28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investors collectively owned 116,481,981 shares of Class A common stock, representing 10.1% of the combined voting power of Tradeweb Markets Inc.’s issued and outstanding common stock and indirectly, through Tradeweb Markets Inc., owned 49.2% of the economic interest in TWM LLC;</w:t>
      </w:r>
    </w:p>
    <w:p>
      <w:pPr>
        <w:spacing w:after="0" w:line="13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collectively owned 96,933,192 shares of Class B common stock, 18,000,000 shares of Class C common stock and 4,988,329 shares of Class D common stock, representing 89.8% of the combined voting power of Tradeweb Markets Inc.’s issued and outstanding common stock and directly and indirectly, through Tradeweb Markets Inc., owned 50.7% of the economic interest in TWM LLC; and</w:t>
      </w:r>
    </w:p>
    <w:p>
      <w:pPr>
        <w:spacing w:after="0" w:line="148"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stockholders that continued to own LLC Interests also collectively owned 68,939 shares of Class D common stock, representing less than 0.1% of the combined voting power of Tradeweb Markets Inc.’s issued and outstanding common stock. Collectively, these stockholders directly owned less than 0.1% of the economic interest in TWM LLC.</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Company’s basic and diluted earnings per share calculations for the three and nine months ended September 30, 2025 were impacted by 159,088 and 165,713, respectively, of weighted average shares resulting from unvested or unsettled vested stock awards that were considered participating securities for purposes of calculating earnings per share in accordance with the two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class method. The Company’s diluted earnings per share calculations for the three and nine months ended September 30, 2025 also includes 1,624,396 and 1,688,168, respectively, of weighted average shares resulting from the dilutive effect of its equity incentive plans. See Note 14 – Earnings Per Share for additional details.</w:t>
      </w:r>
    </w:p>
    <w:p>
      <w:pPr>
        <w:spacing w:after="0" w:line="15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significant accounting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condensed consolidated financial statements represent the financial condition and results of operations of the Company and report a non-controlling interest related to the LLC Interests held by Continuing LLC Owners.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condensed consolidated financial statements are unaudited and should be read in conjunction with the audited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Company’s Annual Report on Form 10-K for the year ended December 31, 2024. The consolidated financial information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has been derived from audited financial statements not included herein. These unaudited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been prepared in accordance with accounting principles generally accepted in the United States of America (“GAAP”) and the rules and regulations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Securities and Exchange Commission (“SEC”) with respect to interim financial reporting and Form 10-Q. In accordance with such rules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certain disclosures that are normally included in annual financial statements have been omitted. These unaudited condensed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reflect all normal and recurring adjustments that are, in the opinion of management, necessary for a fair statement of the results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periods presented. Operating results for interim periods are not necessarily indicative of the results that may be expected for the full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Actual results could differ from those estimates and the difference may be material to the condensed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8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The total cost of an acquisition is allocated to the underlying net assets based on their respective estimated fair values.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4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Transaction costs incurred to effect a business combination are expensed as incurred and are included as a component of professional fees or general and administrative expenses in the condensed consolidated statements of income.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Pushdown Accounting</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consists of cash and highly liquid investments with remaining maturities at the time of purchase of three months or less.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3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Additions to the allowance for credit losses are charged to credit loss expense, which is included in general and administrative expenses in the condensed consolidated statements of income. Aged balances that are determined to be uncollectible are written off against the allowance for credit losses. An allowance for credit losses is also recognized for any credit impairment for available-for-sale debt securities. See Note 12 – Credit Risk for additional information.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 from and Payable to Brokers and Dealers and Clearing Organizations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Receivable from and payable to brokers and dealers and clearing organizations consists of proceeds from transactions executed on the Company’s wholesale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 with Clearing Organizations</w:t>
      </w:r>
    </w:p>
    <w:p>
      <w:pPr>
        <w:spacing w:after="0" w:line="202" w:lineRule="exact"/>
        <w:rPr>
          <w:sz w:val="20"/>
          <w:szCs w:val="20"/>
          <w:color w:val="auto"/>
        </w:rPr>
      </w:pPr>
    </w:p>
    <w:p>
      <w:pPr>
        <w:ind w:right="5580"/>
        <w:spacing w:after="0" w:line="480" w:lineRule="auto"/>
        <w:rPr>
          <w:sz w:val="20"/>
          <w:szCs w:val="20"/>
          <w:color w:val="auto"/>
        </w:rPr>
      </w:pPr>
      <w:r>
        <w:rPr>
          <w:rFonts w:ascii="Times New Roman" w:cs="Times New Roman" w:eastAsia="Times New Roman" w:hAnsi="Times New Roman"/>
          <w:sz w:val="17"/>
          <w:szCs w:val="17"/>
          <w:color w:val="auto"/>
        </w:rPr>
        <w:t xml:space="preserve">Deposits with clearing organizations are comprised of cash deposits. </w:t>
      </w:r>
      <w:r>
        <w:rPr>
          <w:rFonts w:ascii="Times New Roman" w:cs="Times New Roman" w:eastAsia="Times New Roman" w:hAnsi="Times New Roman"/>
          <w:sz w:val="17"/>
          <w:szCs w:val="17"/>
          <w:b w:val="1"/>
          <w:bCs w:val="1"/>
          <w:color w:val="auto"/>
        </w:rPr>
        <w:t>Furniture, Equipment, Purchased Software and Leasehold Improvements</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5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tested for impairment whenever events or changes in circumstances suggest that an asset’s carrying value may not be fully recoverable.</w:t>
      </w:r>
    </w:p>
    <w:p>
      <w:pPr>
        <w:spacing w:after="0" w:line="121"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accumulated depreciation related to furniture, equipment, purchased software and leasehold improvements totaled $94.1 million and $92.0 million, respectively. Depreciation expense for furniture, equipment, purchased software and leasehold improvements was $6.4 million and $5.6 million for the three months ended September 30, 2025 and 2024, respectively, and $18.5 million and $16.1 million for the nine months ended September 30, 2025 and 2024,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ICD Acquisition are amortized over eight years, software development costs acquired as part of the r8fin Acquisition are amortized over seven years and software development costs acquired as part of the Yieldbroker Acquisition and NFI Acquisition were both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December 31, 2024, accumulated amortization related to software development costs totaled $363.1 million and</w:t>
      </w:r>
    </w:p>
    <w:p>
      <w:pPr>
        <w:spacing w:after="0" w:line="27"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7"/>
          <w:szCs w:val="17"/>
          <w:color w:val="auto"/>
        </w:rPr>
        <w:t>$295.3 million, respectively. Amortization expense for software development costs was $23.3 million and $19.6 million for the three months ended September 30, 2025 and 2024, respectively, and $67.8 million and $51.2 million for the nine months ended September 30, 2025 and 2024,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ICD Acquisition, the r8fin Acquisition, the Yieldbroker Acquisition and the NFI Acquisition, which were all accounted for as business combinations. Goodwill is not amortized, but is tested for impairment annually on October 1st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was last tested for impairment on October 1, 2024 and no impairment of goodwill was identified.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Intangible assets with a finite life are amortized over the estimated lives, ranging from four to fifteen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accumulated amortization related to intangible assets totaled $770.6 million and $666.8 million, respectively. Amortization expense for definite-lived intangible assets was $34.6 million and $32.6 million for the three months ended September 30, 2025 and 2024, respectively, and $103.8 million and $89.8 million for the nine months ended September 30, 2025 and 2024,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Available-for-Sale Debt Securities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Investments in available-for-sale debt securities are carried at fair value with unrealized gains or losses excluded from earnings and reported in accumulated other comprehensive loss in the condensed consolidated statements of financial condition until realized. On a quarterly basis, the Company assesses whether an impairment loss on its available-for-sale debt securities has occurred due to declines in fair value or other market conditions. When the amortized cost basis of an available-for-sale debt security exceeds its fair value, the security is deemed to be impaired. The portion of an impairment related to credit losses is determined by comparing the present value of cash flows expected to be collected from the security with the amortized cost basis of the security and is recorded as a charge in the condensed consolidated statements of income. The remainder of an impairment is recognized in accumulated other comprehensive loss if the Company does not intend to sell the security and it is more likely than not that the Company will not be required to sell the security prior to recovery. Investments in available-for-sale debt securities are included as a component of other assets on the condensed consolidated statements of financial condition.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p>
      <w:pPr>
        <w:spacing w:after="0" w:line="20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When the Company does not have a controlling financial interest in an entity but is able to exercise significant influence over the equity’s operating and financial policies, the equity investment is accounted under the equity method of accounting. The Company records its estimated pro-rata share of earnings or losses each reporting period as a component of other income (loss) in the condensed consolidated statements of income and records any dividends as a reduction of the investment balance. Equity method investments are reviewed for impairment whenever events or changes in circumstances indicate that the carrying amount of the investment may not be recoverable. If the estimated fair value of the investment is less than the carrying amount and management considers the decline in value to be other than temporary, the excess of the carrying amount over the estimated fair value is recognized in net income as an impairment in the period the impairment occurs.</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minority investments in equity securities without a readily determinable fair value that are not accounted for under the equity method, the Company applies the measurement alternative. Under the measurement alternative, these investments are measured at cost, less impairment, plus or minus observable price changes (in orderly transactions) of an identical or similar investment of the same issuer. On a quarterly basis, the Company performs a qualitative assessment to evaluate whether the equity investment is impaired and if the Company determines that the equity investment is impaired on the basis of a qualitative assessment, the Company will recognize an impairment loss in net income equal to the amount by which the investment’s carrying amount exceeds its fair value.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investments are included as a component of other assets on the condensed consolidated statements of financial condition.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Digital Assets - Canton Coins</w:t>
      </w:r>
    </w:p>
    <w:p>
      <w:pPr>
        <w:spacing w:after="0" w:line="18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 performs services as a Super Validator and Validator on the Global Synchronizer, the Canton Network’s decentralized interoperability infrastructure. The Canton Network is a public-permissioned blockchain network designed with privacy and controls to facilitate the exchange of regulated financial assets. The Canton Network’s Global Synchronizer includes a utility token, which is a digital asset called the Canton Coin. As a Super Validator and Validator on the network, the Company verifies network transactions and contributes to the consensus mechanism of the network. For these validation services, the Company earns Canton Coins and then generally holds the Canton Coins on its balance sheet for investment purposes and may use Canton Coins to pay fees associated with its own Canton Network activity. The number of Canton Coins earned for validation services in a particular period is variable based on the Canton Network’s minting curve and burn-mint equilibrium and the amount of time that the Company’s nodes are active during any given minting cycle (occurring at regular 10 minute intervals throughout each day), in comparison to other network participants. The cost basis of the Canton Coins received throughout each day is initially recorded at its fair value on the date of receipt as a component of other assets on the condensed consolidated statements of financial condition and other revenue on the condensed consolidated statements of income. The Canton Coins are then remeasured to fair market value at the end of each reporting period through an adjustment to unrealized gain/(loss), included as a component of other income (loss), net on the condensed consolidated statements of income. The Company employs the first-in-first-out (“FIFO”) method on a per wallet basis to determine the cost basis of its Canton Coins for the computation of gains and losses on its disposal or sale. Realized gain (loss) on the disposal or sale of Canton Coins are included as a component of other income (loss), net in the condensed consolidated statements of income.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Sold Under Agreements to Repurchase</w:t>
      </w:r>
    </w:p>
    <w:p>
      <w:pPr>
        <w:spacing w:after="0" w:line="20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From time to time, the Company sells securities under agreements to repurchase in order to facilitate the clearance of securities. Securities sold under agreements to repurchase are treated as collateralized financings and are presented in the condensed consolidated statements of financial condition at the amounts of cash received. Receivables and payables arising from these agreements are not offset in the condensed consolidated statements of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lease commencement, a right-of-use asset and a lease liability are recognized for all leases with an initial term in excess of 12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condensed consolidated statements of income.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0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Company’s classification of revenues in the condensed consolidated statements of income represents revenues from contracts with customers disaggregated by type of revenue. See Note 5 – Revenue for additional details regarding revenue types and the Company’s policies regarding revenue recognition.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of Foreign Currency and Foreign Exchange Derivative Contracts</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The realized and unrealized gains/losses totaled a gain of $2.1 million and a loss of $0.9 million during the three months ended September 30, 2025 and 2024, respectively, and a gain of $4.7 million and a loss of $2.9 million during the nine months ended September 30, 2025 and 2024, respectively. Since the condensed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spacing w:after="0" w:line="16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mitigate its U.S. dollar and British pound sterling versus euro exposure, generally with a duration of less than 12 months. The Company’s foreign exchange derivative contracts are not designated as hedges for accounting purposes. Changes in the fair value during the period of foreign currency forward contracts, which were entered into for foreign exchange risk management purposes relating to operating activities, are recognized in the condensed consolidated statements of income within general and administrative expenses and related cash flows are included in cash flows from operating activities. The Company does not use derivative instruments for trading or speculative purposes. Realized and unrealized gains/losses on foreign currency forward contracts totaled a loss of $1.8 million and a loss of $3.1 million during the three months ended September 30, 2025 and 2024, respectively and a loss of $22.6 million, and a gain of $3.8 million during the nine months ended September 30, 2025 and 2024, respectively. As of September 30, 2025 and December 31, 2024, the counterparty on each of the foreign exchange derivative contracts was an affiliate of LSEG and therefore the corresponding assets or liabilities on such contracts were included in receivable and due from affiliates or payable and due to affiliates, respectively, on the accompanying condensed consolidated statements of financial condition. See Note 11 – Fair Value of Financial Instruments and Other Assets for additional details on the Company’s derivative instruments.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likely to be realized upon ultimate settlement with the related tax authority.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taxes within the provision for income taxes in the condensed consolidated statements of income. Accrued interest and penalties are included within accounts payable, accrued expenses and other liabilities in the condensed consolidated statements of financial condition.</w:t>
      </w:r>
    </w:p>
    <w:p>
      <w:pPr>
        <w:spacing w:after="0" w:line="1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elected to treat taxes due on future U.S. inclusions in taxable income under the global intangible low-taxed income (“GILTI”) provision of the Tax Cuts and Jobs Act of 2017 as a current period expense when incurred.</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The IRA established a 15% corporate alternative minimum tax (“CAMT”) effective for taxable years beginning after December 31, 2022, and imposed a 1% excise tax on the repurchase after December 31, 2022 of stock by publicly traded U.S. corporations. The 1% excise tax did not have an impact on the Company’s condensed consolidated statements of financial condition, income and cash flows as of and for the three and nine months ended September 30, 2025 or 2024. The Company is subject to the current 15% CAMT, however, it did not have an impact on the Company’s effective tax rate for the three and nine months ended September 30, 2025 or 2024.</w:t>
      </w:r>
    </w:p>
    <w:p>
      <w:pPr>
        <w:spacing w:after="0" w:line="14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Two Pillar Plan did not have an impact on the Company’s condensed consolidated statements of financial condition, income and cash flows as of and for the three and nine months ended September 30, 2025 or 2024. The Company continues to monitor developments related to the G7’s discussions on global tax reform and is awaiting legislative updates.</w:t>
      </w:r>
    </w:p>
    <w:p>
      <w:pPr>
        <w:spacing w:after="0" w:line="14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contains several changes to corporate taxation including modifications to capitalization of research and development expenses, limitations on deductions for interest expense and accelerated fixed asset depreciation. The OBBBA did not have a material impact on the Company’s condensed consolidated statements of financial condition, income and cash flows as of and for the three and nine months ended September 30, 2025. The Company will continue to evaluate the implications of this legislation on future periods.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w:t>
      </w:r>
    </w:p>
    <w:p>
      <w:pPr>
        <w:spacing w:after="0" w:line="1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grant-date fair value of stock-based awards with only time-based vesting requirements and stock-based awards that also vest based on the financial performance of the Company are determined based on the price of the Company’s Class A common stock on the grant date. For performance-based restricted stock units that vest based on the financial performance of the Company, the number of shares included in the stock-based compensation expense calculation each period is based on management’s estimate of the probable number of shares expected to be issued at settlement.</w:t>
      </w:r>
    </w:p>
    <w:p>
      <w:pPr>
        <w:spacing w:after="0" w:line="13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For performance-based restricted stock units that vest based on market conditions, the Company recognizes stock-based compensation expense based on the estimated grant-date fair value of the awards computed with the assistance of a valuation specialist using a Monte Carlo simulation on a binomial model.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If the service condition is met, expense is recognized based on the grant-date fair value of the award even if the market condition is not achieved.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Forfeitures of stock-based awards related to service conditions not being met are recognized as they occur.</w:t>
      </w:r>
    </w:p>
    <w:p>
      <w:pPr>
        <w:spacing w:after="0" w:line="19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Prior to the IPO, the Company awarded options to management and other employees (collectively, the “Special Option Award”) under the Amended and Restated Tradeweb Markets Inc. Option Plan (the “Option Plan”). The non-cash stock-based compensation expense associated with the Special Option Award was expensed beginning in the second quarter of 2019 and ended during the first quarter of 2024 when all previously awarded options were fully vested.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Basic and diluted earnings per share are computed in accordance with the two-class method as unvested or unsettled vested stock awards issued to certain retired or terminated employees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shareholders.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spacing w:after="0" w:line="14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dilutive effect of stock options and other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payment awards is calculated using the treasury stock method, which assumes the proceeds from the exercise of these instruments are used to purchase common shares at the average market price for the period. The dilutive effect of LLC Interests held by non-controlling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14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represents the amount that would be received to sell an asset or paid to transfer a liability in an orderly transaction between market participants at the measurement date (the exit price). Financial instruments that the Company owns (long positions) are marked to bid prices, and instruments that the Company has sold, but not yet purchased (short positions) are marked to offer prices. Fair value measurements do not include transaction costs.</w:t>
      </w:r>
    </w:p>
    <w:p>
      <w:pPr>
        <w:spacing w:after="0" w:line="13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 xml:space="preserve">The fair value hierarchy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Fair Value Measurement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asset or liability’s level within the fair value hierarchy is based on the lowest level of any input that is significant to the fair value measurement.</w:t>
      </w:r>
    </w:p>
    <w:p>
      <w:pPr>
        <w:spacing w:after="0" w:line="18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Unadjusted quoted prices in active markets that are accessible at the measurement date for identical, unrestricted assets or liabilities;</w:t>
      </w:r>
    </w:p>
    <w:p>
      <w:pPr>
        <w:spacing w:after="0" w:line="198"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Quoted prices in markets that are not considered to be active or for which all significant inputs are observable, either directly or indirectly;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Prices or valuations that require inputs that are both significant to the fair value measurement and unobservable.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September 2025, the Financial Accounting Standards Board (“FASB”) issued Accounting Standards Update (“ASU”) 2025-07,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815) and Revenue from Contracts with Customers (Topic 606): Derivatives Scope Refinements and Scope Clarification for Share-Based Noncash Consideration from a Customer in a Revenue Contract </w:t>
      </w:r>
      <w:r>
        <w:rPr>
          <w:rFonts w:ascii="Times New Roman" w:cs="Times New Roman" w:eastAsia="Times New Roman" w:hAnsi="Times New Roman"/>
          <w:sz w:val="18"/>
          <w:szCs w:val="18"/>
          <w:color w:val="auto"/>
        </w:rPr>
        <w:t>(“ASU 2025-07”). ASU 2025-07 adds a new scope exception to derivative accounting guidance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non-exchange traded contracts with underlyings based on operations or activities specific to one of the parties to the contract. However, this scope exception does not apply to (1) variables based on a market rate, market price or market index, (2) variables based on the price or performance (including default) of a financial asset or financial liability of one of the parties to the contract, (3) contracts (or features) involving the issuer’s own equity and (4) call and put options on debt instruments. The ASU also clarifies that an entity should apply the guidance from revenue from contracts with customers, including the noncash consideration guidance therein, to a contract with share-based non-cash consideration from a customer for the transfer of goods or services unless and until the entity’s right to receive or retain the share-based noncash consideration is unconditional. ASU 2025-07 is effective for the Company’s interim and annual reporting periods beginning on January 1, 2027. The guidance may be applied on a prospective or modified retrospective basis and early adoption is permitted. The Company is currently evaluating the impact of adopting ASU 2025-07 on its consolidated financial statements.</w:t>
      </w:r>
    </w:p>
    <w:p>
      <w:pPr>
        <w:spacing w:after="0" w:line="1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Accounting for Internal-Use Software </w:t>
      </w:r>
      <w:r>
        <w:rPr>
          <w:rFonts w:ascii="Times New Roman" w:cs="Times New Roman" w:eastAsia="Times New Roman" w:hAnsi="Times New Roman"/>
          <w:sz w:val="18"/>
          <w:szCs w:val="18"/>
          <w:color w:val="auto"/>
        </w:rPr>
        <w:t>(“ASU 2025-06”), which amends certain aspects of the accounting for and disclosure of internal-use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costs. To address that software is not always developed in a linear manner, ASU 2025-06 removes the previous references to project development stages and enhances the guidance on how to evaluate whether the probable-to-complete recognition threshold has been met. ASU 2025-06 is effective for the Company’s interim and annual reporting periods beginning on January 1, 2028. The guidance may be applied on a prospective, retrospective or modified prospective transition basis and early adoption is permitted. The Company is currently evaluating the impact of adopting ASU 2025-06 on its consolidated financial statements.</w:t>
      </w:r>
    </w:p>
    <w:p>
      <w:pPr>
        <w:spacing w:after="0" w:line="14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Contract Assets </w:t>
      </w:r>
      <w:r>
        <w:rPr>
          <w:rFonts w:ascii="Times New Roman" w:cs="Times New Roman" w:eastAsia="Times New Roman" w:hAnsi="Times New Roman"/>
          <w:sz w:val="18"/>
          <w:szCs w:val="18"/>
          <w:color w:val="auto"/>
        </w:rPr>
        <w:t>(“ASU 2025-05”). ASU 2025-05 introduces a practical expedient for measuring expected credit losses that permits entities to assume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current conditions as of the balance sheet date do not change for the remaining life of current accounts receivable and current contract assets arising from revenue from contracts with customers. ASU 2025-05 is effective for the Company’s interim and annual reporting periods beginning on January 1, 2026. The guidance is to be applied on a prospective basis and early adoption is permitted. The Company is currently evaluating the impact of adopting ASU 2025-05 on its consolidated financial statements.</w:t>
      </w:r>
    </w:p>
    <w:p>
      <w:pPr>
        <w:spacing w:after="0" w:line="15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ASU 2024-03 requires the disaggregation of certain costs and expenses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the financial statements to provide enhanced transparency into the expense captions presented on the face of the income statement. ASU 2024-03 is effective for the Company’s Annual Report on Form 10-K for the fiscal year ending December 31, 2027 and for interim periods beginning in 2028. The guidance may be applied on a prospective or retrospective basis and early adoption is permitted. The Company is currently evaluating the impact of adopting ASU 2024-03 on its consolidated financial statements.</w:t>
      </w:r>
    </w:p>
    <w:p>
      <w:pPr>
        <w:spacing w:after="0" w:line="14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ASU 2023-09 requires disaggregated information about a reporting entity’s effective tax rate reconciliation and income taxes paid. ASU 2023-09 is effective for the Company’s Annual Report on Form 10-K for the fiscal year ending December 31, 2025. The guidance may be applied on a prospective or retrospective basis and early adoption is permitted. The Company is currently evaluating the impact of adopting ASU 2023-09 on its consolidated financial statements.</w:t>
      </w:r>
    </w:p>
    <w:p>
      <w:pPr>
        <w:spacing w:after="0" w:line="13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Restricted Cash</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September 30, 2025 and December 31, 2024, cash in the amount of $1.0 million, has been segregated in the PAB reserve account, exceeding the requirements pursuant to SEC Rule 15c3-3.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r8fin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19, 2024, the Company completed its acquisition of r8fin in exchange for total purchase consideration of $125.9 million, consisting of</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$89.2 million in cash paid at closing (net of cash acquired) and the issuance of 374,601 shares of Class A common stock of the Corporation valued as of the acquisition date at $36.7 million. r8fin provides a suite of algorithmic-based tools as well as a thin-client EMS trading application to facilitate futures and cash trades.</w:t>
      </w:r>
    </w:p>
    <w:p>
      <w:pPr>
        <w:spacing w:after="0" w:line="14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r8fin Acquisition was not material to the Company's condensed consolidated financial statements and therefore pro forma and current period results of this acquisition have not been presented.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 2024, the Company completed its acquisition of ICD in exchange for total purchase consideration of $774.2 million.</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acquisition closing, the Corporation was required to issue and sell $4.5 million of shares of its Class A common stock in reliance on Section 4(a)(2) of the Securities Act, to an equityholder of the ICD seller, who was also an employee of ICD and is currently an employee of the Company. These shares of Class A common stock were issued and sold as restricted stock (“RSAs”), subject to vesting and forfeiture terms, pursuant to the Tradeweb Markets Inc. 2019 Omnibus Equity Incentive Plan. The 41,705 RSAs issued at closing, had a fair market value of $4.7 million as of the acquisition date, and will cliff vest at the end of a two-year service period. Of the $4.7 million in RSAs issued, $3.3 million was allocated to consideration transferred for the business combination, relating to the pre-combination service period completed before the acquisition date, and $1.3 million will be amortized into stock-based compensation expense over the two-year service period required subsequent to the acquisition date.</w:t>
      </w:r>
    </w:p>
    <w:p>
      <w:pPr>
        <w:spacing w:after="0" w:line="16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Cash paid at closing, net of $23.3 million in cash acquired and net of $4.5 million in proceeds from the sale of RSAs, totaled $773.8 million. Of this amount, $770.9 million was determined to be the net cash consideration transferred for the business combination, $1.4 million was recorded as compensation expense during the quarter ended September 30, 2024, related to the acceleration of vesting on the acquisition date of previously unvested stock awards issued by the ICD seller, and $1.4 million was recorded as a prepaid asset, to be recognized as compensation expense over a two-year required service period, relating to sale proceeds held in escrow for certain key executives, who are required to remain employed by the Company during that service period in order to receive the escrow portion of their sale proceeds.</w:t>
      </w:r>
    </w:p>
    <w:p>
      <w:pPr>
        <w:spacing w:after="0" w:line="14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ICD is an institutional investment technology provider for corporate treasury organizations trading short-term investments and with the 2024 acquisition of ICD and its proprietary technology, the Company added “corporates” as a client channel, serving corporate treasury professionals, complementing the Company’s previously existing focus on institutional, wholesale and retail clients.</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From the date of the ICD Acquisition through September 30, 2024, ICD revenues of $17.2 million and an operating loss of $0.3 million, including $7.3 million of depreciation and amortization from acquired assets, were included in the Company’s condensed consolidated statements of income for the three and nine months ended September 30,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Pro Forma Information (Unaudited)</w:t>
      </w:r>
    </w:p>
    <w:p>
      <w:pPr>
        <w:spacing w:after="0" w:line="25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financial information in the table below summarizes the combined results of operations of Tradeweb Markets Inc. and ICD, on a pro forma basis, as though the companies had been combined as of January 1, 2023. The unaudited supplemental pro forma information is presented for informational purposes only and is not indicative of the actual results of operations that would have been achieved if the ICD Acquisition had taken place on January 1, 2023 or of future results. Such unaudited pro forma financial information is based on the historical financial statements of Tradeweb Markets Inc. and ICD. The unaudited pro forma financial information is based on estimates and assumptions that have been made solely for the purpose of developing such unaudited pro forma financial information, including, without limitation, purchase accounting adjustments, acquisition related transaction costs, the removal of historical ICD interest expense and intangible asset amortization and the addition of intangible asset amortization and incremental stock-based compensation expense related to this acquisition, together with their consequential tax effects. The pro forma adjustments are based upon currently available information and certain assumptions that the Company believes are reasonable under the circumstances. The unaudited pro forma financial information does not reflect any anticipated synergies or operating cost reductions that may be achieved from integrating ICD into the rest of the Company.</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supplemental pro forma financial information for the three and nine months ended September 30, 2024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5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6"/>
        </w:trPr>
        <w:tc>
          <w:tcPr>
            <w:tcW w:w="7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8"/>
                <w:szCs w:val="18"/>
                <w:color w:val="auto"/>
              </w:rPr>
            </w:pPr>
          </w:p>
        </w:tc>
        <w:tc>
          <w:tcPr>
            <w:tcW w:w="15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7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3"/>
          </w:tcPr>
          <w:p>
            <w:pPr>
              <w:spacing w:after="0"/>
              <w:rPr>
                <w:sz w:val="2"/>
                <w:szCs w:val="2"/>
                <w:color w:val="auto"/>
              </w:rPr>
            </w:pPr>
          </w:p>
        </w:tc>
      </w:tr>
      <w:tr>
        <w:trPr>
          <w:trHeight w:val="190"/>
        </w:trPr>
        <w:tc>
          <w:tcPr>
            <w:tcW w:w="7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40" w:type="dxa"/>
            <w:vAlign w:val="bottom"/>
            <w:gridSpan w:val="3"/>
          </w:tcPr>
          <w:p>
            <w:pPr>
              <w:jc w:val="right"/>
              <w:ind w:right="997"/>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456,753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1,317,022</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172,443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500,663</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365,832</w:t>
            </w: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and reporting of trades thereon, which are highly interrelated services. The stand-ready connection to the electronic marketplaces is considered a single performance obligation satisfied over time as the client simultaneously receives and consumes the benefit from the Company’s performance as access is provided. This performance obligation constitutes a series of services that are substantially the same in nature and are provided over time using the same measure of progress.</w:t>
      </w:r>
    </w:p>
    <w:p>
      <w:pPr>
        <w:spacing w:after="0" w:line="16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its services, the Company may earn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also earns transaction fees and/or commissions from transactions executed on the Company’s electronic marketplaces, including the basis point commissions earned on the monthly average daily balance (“ADB”) of money market fund investments made through its ICD Portal, and commission revenue from its electronic and voice brokerage services on a riskless principal basis. Riskless principal revenues are derived on matched principal transactions where revenues are earned on the spread between the buy and sell price of the transacted product.</w:t>
      </w:r>
    </w:p>
    <w:p>
      <w:pPr>
        <w:spacing w:after="0" w:line="13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Transaction fees and commissions are generated both on a variable and fixed price basis and vary by geographic region, product type and trade size. Fixed monthly transaction fees and commissions, or monthly transaction fees and commission minimums, are earned on a monthly basis in the period the stand-ready trading services are provided and are generally billed monthly. For variable transaction fees and commissions, the Company charges its clients amounts calculated based on the mix of products traded and the volume of transactions executed. Variable transaction fee and commission revenue associated with a particular trade is recognized and recorded on a trade-date basis when the individual trade occurs and is generally billed when the trade settles or is billed monthly. Variable commission revenue based upon a clients’ ADB invested in money market funds during a calendar month is recorded monthly and the rates billed may vary by money market fund and by the total level of funds invested. Variable discounts or rebates on transaction fees and commissions are earned and applied monthly or quarterly, resolved within the same reporting period and are recorded as a reduction to revenue in the period the relevant trades occur.</w:t>
      </w:r>
    </w:p>
    <w:p>
      <w:pPr>
        <w:spacing w:after="0" w:line="16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also earns fees from an affiliate of LSEG relating to the sale of market data to LSEG, which distributes that data. Included in these fees, which are billed quarterly, are real-time market data fees which are recognized monthly on a straight-line basis, as LSEG receives and consumes the benefit evenly over the contract period, as the data is provided. Also included in these fees are fees for historical data sets, which are recognized when the historical data set is provided to LSEG.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judgments used in accounting for the Company’s market data agreement with LSEG include the following determinations:</w:t>
      </w:r>
    </w:p>
    <w:p>
      <w:pPr>
        <w:spacing w:after="0" w:line="18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9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22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15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Some revenues earned by the Company have fixed fee components, such as monthly minimums or fixed monthly fees, and variable components, such as transaction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fees and commissions. The breakdown of revenues between fixed and variable revenues for the three and nine months ended September 30, 2025 and 2024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5"/>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5"/>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r>
      <w:tr>
        <w:trPr>
          <w:trHeight w:val="186"/>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5"/>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29"/>
        </w:trPr>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37"/>
        </w:trPr>
        <w:tc>
          <w:tcPr>
            <w:tcW w:w="56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372,380</w:t>
            </w:r>
          </w:p>
        </w:tc>
        <w:tc>
          <w:tcPr>
            <w:tcW w:w="80" w:type="dxa"/>
            <w:vAlign w:val="bottom"/>
          </w:tcPr>
          <w:p>
            <w:pPr>
              <w:spacing w:after="0"/>
              <w:rPr>
                <w:sz w:val="23"/>
                <w:szCs w:val="23"/>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337,732</w:t>
            </w:r>
          </w:p>
        </w:tc>
        <w:tc>
          <w:tcPr>
            <w:tcW w:w="80" w:type="dxa"/>
            <w:vAlign w:val="bottom"/>
          </w:tcPr>
          <w:p>
            <w:pPr>
              <w:spacing w:after="0"/>
              <w:rPr>
                <w:sz w:val="23"/>
                <w:szCs w:val="23"/>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35,761</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50,796</w:t>
            </w: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LSEG market data fees</w:t>
            </w: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20,512</w:t>
            </w:r>
          </w:p>
        </w:tc>
      </w:tr>
      <w:tr>
        <w:trPr>
          <w:trHeight w:val="27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375,771</w:t>
            </w: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338,979</w:t>
            </w: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109,936</w:t>
            </w: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r>
      <w:tr>
        <w:trPr>
          <w:trHeight w:val="470"/>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5"/>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6"/>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r>
      <w:tr>
        <w:trPr>
          <w:trHeight w:val="186"/>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5"/>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0"/>
        </w:trPr>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37"/>
        </w:trPr>
        <w:tc>
          <w:tcPr>
            <w:tcW w:w="56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1,131,285</w:t>
            </w:r>
          </w:p>
        </w:tc>
        <w:tc>
          <w:tcPr>
            <w:tcW w:w="80" w:type="dxa"/>
            <w:vAlign w:val="bottom"/>
          </w:tcPr>
          <w:p>
            <w:pPr>
              <w:spacing w:after="0"/>
              <w:rPr>
                <w:sz w:val="23"/>
                <w:szCs w:val="23"/>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141,136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929,997</w:t>
            </w:r>
          </w:p>
        </w:tc>
        <w:tc>
          <w:tcPr>
            <w:tcW w:w="80" w:type="dxa"/>
            <w:vAlign w:val="bottom"/>
          </w:tcPr>
          <w:p>
            <w:pPr>
              <w:spacing w:after="0"/>
              <w:rPr>
                <w:sz w:val="23"/>
                <w:szCs w:val="23"/>
                <w:color w:val="auto"/>
              </w:rPr>
            </w:pP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109,422</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150,288</w:t>
            </w: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LSEG market data fees</w:t>
            </w:r>
          </w:p>
        </w:tc>
        <w:tc>
          <w:tcPr>
            <w:tcW w:w="260" w:type="dxa"/>
            <w:vAlign w:val="bottom"/>
          </w:tcPr>
          <w:p>
            <w:pPr>
              <w:spacing w:after="0"/>
              <w:rPr>
                <w:sz w:val="23"/>
                <w:szCs w:val="2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61,593</w:t>
            </w:r>
          </w:p>
        </w:tc>
      </w:tr>
      <w:tr>
        <w:trPr>
          <w:trHeight w:val="27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1,138,643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392,603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932,923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329,682</w:t>
            </w: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Fees received by the Company which are not yet earned are included in deferred revenue on the condensed consolidated statements of financial condition until the revenue recognition criteria have been met. The revenue recognized and the remaining deferred revenue balances are shown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4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27"/>
        </w:trPr>
        <w:tc>
          <w:tcPr>
            <w:tcW w:w="9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 December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30,800</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billings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149,596</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(144,381)</w:t>
            </w:r>
          </w:p>
        </w:tc>
      </w:tr>
      <w:tr>
        <w:trPr>
          <w:trHeight w:val="229"/>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4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 September 30,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36,266</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recognized into revenue $29.9 million in deferred revenue that was deferred as of December 31, 2024. During the nine months ended September 30, 2024, the Company recognized into revenue $25.1 million in deferred revenue that was deferred as of December 31,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0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will continue to increase as Continuing LLC Owners that continue to hold LLC Interests redeem or exchange their LLC Interests for shares of Class A common stock or Class B common stock, as applicable, or the Corporation purchases LLC Interests from such Continuing LLC Owners. The Company’s consolidated effective tax rate will also vary from period to period depending on changes in the mix of earnings, tax legislation and tax rates in various jurisdictions. The Company’s provision for income taxes includes U.S., federal, state, local and foreign taxes.</w:t>
      </w:r>
    </w:p>
    <w:p>
      <w:pPr>
        <w:spacing w:after="0" w:line="119"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September 30, 2025 and 2024 was approximately 21.9% and 25.0%, respectively. The effective tax rate for the three months ended September 30, 2025 differed from the U.S. federal statutory rate of 21.0% primarily due to state, local and foreign taxes and the disallowance of compensation expense tax deductions, partially offset by the effect of non-controlling interests, the dividends received deduction and the Foreign-Derived Intangible Income (“FDII”) deduction. The effective tax rate for the three months ended September 30, 2024 differed from the U.S. federal statutory rate of 21.0% primarily due to state, local and foreign taxes and the disallowance of compensation expense tax deductions, partially offset by the effect of non-controlling interests and the FDII deduction.</w:t>
      </w:r>
    </w:p>
    <w:p>
      <w:pPr>
        <w:spacing w:after="0" w:line="143"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18"/>
          <w:szCs w:val="18"/>
          <w:color w:val="auto"/>
        </w:rPr>
        <w:t>The Company’s effective tax rate for the nine months ended September 30, 2025 and 2024 was approximately 22.8% and 24.7%, respectively. The effective tax rate for the nine months ended September 30, 2025 differed from the U.S. federal statutory rate of 21.0% primarily due to state, local and foreign taxes and the disallowance of compensation expense tax deductions, partially offset by the effect of non-controlling interests, the dividends received deduction and the FDII deduction. The effective tax rate for the nine months ended September 30, 2024 differed from the U.S. federal statutory rate of 21.0% primarily due to state, local and foreign taxes and the disallowance of compensation expense tax deductions, partially offset by the effect of non-controlling interests and the FDII deduction.</w:t>
      </w:r>
    </w:p>
    <w:p>
      <w:pPr>
        <w:spacing w:after="0" w:line="17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has obtained, and expects to obtain, an increase in its share of the tax basis of the assets of TWM LLC when LLC Interests are redeemed or exchanged by Continuing LLC Owners and in connection with certain other qualifying transactions. This increase in tax basis has had, and may in the future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7 – Tax Receivable Agreement for further details. The tax benefit has been recognized in deferred tax assets on the condensed consolidated statements of financial condition.</w:t>
      </w:r>
    </w:p>
    <w:p>
      <w:pPr>
        <w:spacing w:after="0" w:line="1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Tax Receivable Agreement</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due within 150 days after the filing of the tax return based on the actual tax savings realized by the Corporation, and estimated payments may be made in advance. The first payment of the Tax Receivable Agreement was made in January 2021. Substantially all payments due under the Tax Receivable Agreement are payable over fifteen years following the purchase of LLC Interests from Continuing LLC Owners or redemption or exchanges by Continuing LLC Owners of LLC Interests.</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accounts for the income tax effects resulting from taxable redemptions or exchanges of LLC Interests by Continuing LLC Owners for shares of Class A common stock or Class B common stock or cash, as the case may be, and purchases by the Corporation of LLC Interests from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mix of the Company’s earnings, tax legislation and tax rates in various jurisdictions, or other factors that may impact the Corporation’s actual tax savings realized, are reflected in income before taxes on the condensed consolidated statements of income in the period in which the change occurs. As of September 30, 2025 and December 31, 2024, the tax receivable agreement liability on the condensed consolidated statements of financial condition totaled $351.4 million and $372.8 million, respectively. During both the three and nine months ended September 30, 2025, no tax receivable agreement liability adjustment was recognized in the condensed consolidated statements of income. During both the three and nine months ended September 30, 2024, the Company recognized a tax receivable agreement liability adjustment of $0.9 million of expense in the condensed consolidated statements of income due to changes in the tax receivable agreement liability recorded in the condensed consolidated statement of financial condition as a result of changes in the mix of earnings in connection with the acquisition of ICD, which impacted the Company’s estimated future tax savings.</w:t>
      </w:r>
    </w:p>
    <w:p>
      <w:pPr>
        <w:spacing w:after="0" w:line="1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Non-Controlling Interests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condensed consolidated financial statements. The non-controlling interests balance reported on the condensed consolidated statements of financial condition represents the economic interests of TWM LLC held by Continuing LLC Owners. Income or loss is attributed to the non-controlling interests based on the relative ownership percentages of LLC Interests held during the period by Tradeweb Markets Inc. and the Continuing LLC Owners.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Tradeweb Markets LLC: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98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900" w:type="dxa"/>
            <w:vAlign w:val="bottom"/>
            <w:gridSpan w:val="3"/>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53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131"/>
        </w:trPr>
        <w:tc>
          <w:tcPr>
            <w:tcW w:w="53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LLC</w:t>
            </w:r>
          </w:p>
        </w:tc>
        <w:tc>
          <w:tcPr>
            <w:tcW w:w="1460" w:type="dxa"/>
            <w:vAlign w:val="bottom"/>
            <w:tcBorders>
              <w:top w:val="single" w:sz="8" w:color="auto"/>
            </w:tcBorders>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LLC</w:t>
            </w:r>
          </w:p>
        </w:tc>
        <w:tc>
          <w:tcPr>
            <w:tcW w:w="1480" w:type="dxa"/>
            <w:vAlign w:val="bottom"/>
            <w:tcBorders>
              <w:top w:val="single" w:sz="8" w:color="auto"/>
            </w:tcBorders>
          </w:tcPr>
          <w:p>
            <w:pPr>
              <w:jc w:val="right"/>
              <w:ind w:right="317"/>
              <w:spacing w:after="0" w:line="131" w:lineRule="exact"/>
              <w:rPr>
                <w:sz w:val="20"/>
                <w:szCs w:val="20"/>
                <w:color w:val="auto"/>
              </w:rPr>
            </w:pPr>
            <w:r>
              <w:rPr>
                <w:rFonts w:ascii="Times New Roman" w:cs="Times New Roman" w:eastAsia="Times New Roman" w:hAnsi="Times New Roman"/>
                <w:sz w:val="14"/>
                <w:szCs w:val="14"/>
                <w:b w:val="1"/>
                <w:bCs w:val="1"/>
                <w:color w:val="auto"/>
              </w:rPr>
              <w:t>Ownership</w:t>
            </w:r>
          </w:p>
        </w:tc>
      </w:tr>
      <w:tr>
        <w:trPr>
          <w:trHeight w:val="195"/>
        </w:trPr>
        <w:tc>
          <w:tcPr>
            <w:tcW w:w="536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4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8"/>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Tradeweb Markets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213,373,468</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213,119,161</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non-controlling interests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23,057,268</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23,073,738</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LLC Interests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236,430,736</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236,192,899</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LLC Interests held by the Continuing LLC Owners are redeemable in accordance with the TWM LLC Agreement, at the election of such holders, for shares of Class A common stock or Class B common stock, as applicable, on a one-for-one basis or, at the Company’s option, a cash payment in accordance with the terms of the TWM LLC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on Tradeweb Market Inc.’s equity due to changes in the Corporation’s ownership interest in TWM LLC: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20"/>
        <w:spacing w:after="0" w:line="244" w:lineRule="auto"/>
        <w:rPr>
          <w:sz w:val="20"/>
          <w:szCs w:val="20"/>
          <w:color w:val="auto"/>
        </w:rPr>
      </w:pPr>
      <w:r>
        <w:rPr>
          <w:rFonts w:ascii="Times New Roman" w:cs="Times New Roman" w:eastAsia="Times New Roman" w:hAnsi="Times New Roman"/>
          <w:sz w:val="14"/>
          <w:szCs w:val="14"/>
          <w:b w:val="1"/>
          <w:bCs w:val="1"/>
          <w:color w:val="auto"/>
        </w:rPr>
        <w:t>Net Income Attributable to Tradeweb Markets Inc. and Transfers (to) from the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497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8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6"/>
        </w:trPr>
        <w:tc>
          <w:tcPr>
            <w:tcW w:w="860" w:type="dxa"/>
            <w:vAlign w:val="bottom"/>
          </w:tcPr>
          <w:p>
            <w:pPr>
              <w:spacing w:after="0"/>
              <w:rPr>
                <w:sz w:val="18"/>
                <w:szCs w:val="18"/>
                <w:color w:val="auto"/>
              </w:rPr>
            </w:pPr>
          </w:p>
        </w:tc>
        <w:tc>
          <w:tcPr>
            <w:tcW w:w="200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8"/>
                <w:szCs w:val="18"/>
                <w:color w:val="auto"/>
              </w:rPr>
            </w:pPr>
          </w:p>
        </w:tc>
        <w:tc>
          <w:tcPr>
            <w:tcW w:w="1880" w:type="dxa"/>
            <w:vAlign w:val="bottom"/>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3"/>
        </w:trPr>
        <w:tc>
          <w:tcPr>
            <w:tcW w:w="8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90"/>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860" w:type="dxa"/>
            <w:vAlign w:val="bottom"/>
          </w:tcPr>
          <w:p>
            <w:pPr>
              <w:spacing w:after="0"/>
              <w:rPr>
                <w:sz w:val="16"/>
                <w:szCs w:val="16"/>
                <w:color w:val="auto"/>
              </w:rPr>
            </w:pPr>
          </w:p>
        </w:tc>
        <w:tc>
          <w:tcPr>
            <w:tcW w:w="28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80" w:type="dxa"/>
            <w:vAlign w:val="bottom"/>
          </w:tcPr>
          <w:p>
            <w:pPr>
              <w:spacing w:after="0"/>
              <w:rPr>
                <w:sz w:val="16"/>
                <w:szCs w:val="16"/>
                <w:color w:val="auto"/>
              </w:rPr>
            </w:pPr>
          </w:p>
        </w:tc>
      </w:tr>
    </w:tbl>
    <w:p>
      <w:pPr>
        <w:spacing w:after="0" w:line="20" w:lineRule="exact"/>
        <w:rPr>
          <w:sz w:val="20"/>
          <w:szCs w:val="20"/>
          <w:color w:val="auto"/>
        </w:rPr>
      </w:pPr>
    </w:p>
    <w:p>
      <w:pPr>
        <w:sectPr>
          <w:pgSz w:w="11900" w:h="16838" w:orient="portrait"/>
          <w:cols w:equalWidth="0" w:num="2">
            <w:col w:w="5220" w:space="400"/>
            <w:col w:w="56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359,297</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(to) from non-controlling interests:</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Increase/(decrease) in Tradeweb Markets Inc.’s additional paid-in capital</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 a result of ownership changes in TWM LLC</w:t>
            </w: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transfers (to) from non-controlling interests</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156"/>
        </w:trPr>
        <w:tc>
          <w:tcPr>
            <w:tcW w:w="56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Change from net income attributable to Tradeweb Markets Inc. and</w:t>
            </w: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183,382</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113,293</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486,797</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357,809</w:t>
            </w:r>
          </w:p>
        </w:tc>
        <w:tc>
          <w:tcPr>
            <w:tcW w:w="0" w:type="dxa"/>
            <w:vAlign w:val="bottom"/>
          </w:tcPr>
          <w:p>
            <w:pPr>
              <w:spacing w:after="0"/>
              <w:rPr>
                <w:sz w:val="1"/>
                <w:szCs w:val="1"/>
                <w:color w:val="auto"/>
              </w:rPr>
            </w:pPr>
          </w:p>
        </w:tc>
      </w:tr>
      <w:tr>
        <w:trPr>
          <w:trHeight w:val="236"/>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(to) from non-controlling interests</w:t>
            </w: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Stockholders’ Equity and Stock-Based Compensation Plans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rights and privileges of the Company’s stockholders’ equity and LLC Interests are described in the audited consolidated financial statements included in the Company’s Annual Report on Form 10-K for the year ended December 31, 2024 and there have been no changes to those rights and privileges during the nine months ended September 30,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movement in the Company’s outstanding shares of common stock during the period: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115,977,551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5,073,538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235,984,281</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454,830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454,830</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116,439,381</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5,066,538</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236,439,111</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116,453,684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5,062,538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236,449,414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60" w:type="dxa"/>
            <w:vAlign w:val="bottom"/>
            <w:tcBorders>
              <w:top w:val="single" w:sz="8" w:color="CCEEFF"/>
            </w:tcBorders>
            <w:vMerge w:val="continue"/>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5,270</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(5,270)</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23,027</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23,027</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116,481,981</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5,057,268</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236,472,441</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3"/>
        </w:trPr>
        <w:tc>
          <w:tcPr>
            <w:tcW w:w="4160" w:type="dxa"/>
            <w:vAlign w:val="bottom"/>
          </w:tcPr>
          <w:p>
            <w:pPr>
              <w:spacing w:after="0"/>
              <w:rPr>
                <w:sz w:val="24"/>
                <w:szCs w:val="24"/>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115,090,787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5,077,973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235,101,952</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699,840</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699,840</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common stock for business acquisition </w:t>
            </w:r>
            <w:r>
              <w:rPr>
                <w:rFonts w:ascii="Times New Roman" w:cs="Times New Roman" w:eastAsia="Times New Roman" w:hAnsi="Times New Roman"/>
                <w:sz w:val="23"/>
                <w:szCs w:val="23"/>
                <w:color w:val="auto"/>
                <w:vertAlign w:val="superscript"/>
              </w:rPr>
              <w:t>(1)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374,601</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374,601</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116,165,228</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5,077,973</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236,176,393</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116,377</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116,377</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116,282,605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5,076,973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236,292,770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Borders>
              <w:top w:val="single" w:sz="8" w:color="CCEEFF"/>
            </w:tcBorders>
            <w:vMerge w:val="continue"/>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3,235</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(3,235)</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114,924</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114,924</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Issuance of common stock for business acquisition </w:t>
            </w:r>
            <w:r>
              <w:rPr>
                <w:rFonts w:ascii="Times New Roman" w:cs="Times New Roman" w:eastAsia="Times New Roman" w:hAnsi="Times New Roman"/>
                <w:sz w:val="23"/>
                <w:szCs w:val="23"/>
                <w:color w:val="auto"/>
                <w:vertAlign w:val="superscript"/>
              </w:rPr>
              <w:t>(2)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41,705</w:t>
            </w:r>
          </w:p>
        </w:tc>
        <w:tc>
          <w:tcPr>
            <w:tcW w:w="1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41,705</w:t>
            </w:r>
          </w:p>
        </w:tc>
        <w:tc>
          <w:tcPr>
            <w:tcW w:w="0" w:type="dxa"/>
            <w:vAlign w:val="bottom"/>
          </w:tcPr>
          <w:p>
            <w:pPr>
              <w:spacing w:after="0"/>
              <w:rPr>
                <w:sz w:val="1"/>
                <w:szCs w:val="1"/>
                <w:color w:val="auto"/>
              </w:rPr>
            </w:pPr>
          </w:p>
        </w:tc>
      </w:tr>
      <w:tr>
        <w:trPr>
          <w:trHeight w:val="175"/>
        </w:trPr>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(214,795)</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(214,795)</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116,227,674</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5,073,738</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236,234,604</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140" w:hanging="332"/>
        <w:spacing w:after="0" w:line="281"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19, 2024, the Corporation issued 374,601 unregistered shares of Class A common stock as partial consideration for the r8fin Acquisition (the “r8fin Acquisition Shares”), in reliance on Section 4(a)(2) of the Securities Act. The r8fin Acquisition Shares are considered issued and outstanding subsequent to their January 19, 2024 issuance, but remain subject to a lock-up that restricts the sale, transfer or disposal of these shares for the two year period following the January 19, 2024 acquisition date of the r8fin Acquisition.</w:t>
      </w:r>
    </w:p>
    <w:p>
      <w:pPr>
        <w:spacing w:after="0" w:line="4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1, 2024, the Corporation issued and sold 41,705 unregistered shares of Class A common stock in connection with the closing of the ICD Acquisition, in reliance on Section 4(a)</w:t>
      </w:r>
    </w:p>
    <w:p>
      <w:pPr>
        <w:spacing w:after="0" w:line="27" w:lineRule="exact"/>
        <w:rPr>
          <w:rFonts w:ascii="Times New Roman" w:cs="Times New Roman" w:eastAsia="Times New Roman" w:hAnsi="Times New Roman"/>
          <w:sz w:val="14"/>
          <w:szCs w:val="14"/>
          <w:color w:val="auto"/>
        </w:rPr>
      </w:pPr>
    </w:p>
    <w:p>
      <w:pPr>
        <w:ind w:left="340" w:right="360"/>
        <w:spacing w:after="0" w:line="26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of the Securities Act. These shares of Class A common stock (or “RSAs”) were issued and sold as restricted stock, subject to vesting and forfeiture terms, pursuant to the Tradeweb Markets Inc. 2019 Omnibus Equity Incentive Plan. Although the RSAs and dividends payable on the RSAs during the vesting period are subject to a two-year cliff vesting service requirement and forfeiture terms, they are considered issued and outstanding shares of Class A common stock subsequent to their August 1, 2024 issuance. TWM LLC will issue corresponding LLC Interests to the Corporation only if, when and to the extent the RSAs vest. See Note 4 – Acquisitions for additional details on this acquisition.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restricted stock units (“RSUs”) and RSAs with only time-based vesting conditions, performance-based restricted stock units with both time and performance-based vesting conditions, stock options and dividend equivalent rights. The Company refers to performance-based restricted stock units that vest based on the financial performance of the Company as “PRSUs” and performance-based restricted stock units that vest based on market conditions, such as total shareholder return, as “PSUs”. RSUs, PRSUs and PSUs each represent promises to issue actual shares of Class A common stock at the end of a vesting period. RSAs are issued shares of restricted Class A common stock that are released to an employee at the end of a vesting period. Stock options have a maximum contractual term of 10 years.</w:t>
      </w:r>
    </w:p>
    <w:p>
      <w:pPr>
        <w:spacing w:after="0" w:line="1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granted 6,838 RSUs at a weighted-average grant-date fair value per share of $126.75. No PRSUs or PSUs were granted during the three months ended September 30, 2025. During the nine months ended September 30, 2025, the Company granted 384,870 RSUs, 147,733 PRSUs and 65,532 PSUs at a weighted-average grant-date fair value per share of $135.33, $135.80 and $216.02, respectively.</w:t>
      </w:r>
    </w:p>
    <w:p>
      <w:pPr>
        <w:spacing w:after="0" w:line="13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RSU awards granted to employees will generally vest one-third each year over a three-year period, RSU awards granted to non-employee directors will generally vest after one year and RSAs vest at the end of a two-year period.</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PRSUs generally cliff vest on January 1 of the third calendar year from the calendar year of the date of grant and the number of shares a participant will receive upon vesting is determined by a performance modifier, which is adjusted as a result of the financial performance of the Company. For PRSU awards granted during 2024 and thereafter, the financial performance of the Company will be determined based on the compound annual growth rate over a three-year performance period beginning on January 1 in the year of grant. For PRSU awards granted during 2023, the financial performance of the Company was determined based on the financial performance of the Company in the grant year, and any earned awards that remain outstanding are subject to time-based vesting conditions. For all PRSU awards granted, the performance modifier can vary between 0% (minimum) and 250% (maximum) of the target (100%) award amount.</w:t>
      </w:r>
    </w:p>
    <w:p>
      <w:pPr>
        <w:spacing w:after="0" w:line="1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PSUs cliff vest on January 1 of the third calendar year from the calendar year of the date of grant and the number of shares a participant will receive upon vesting is determined by a performance modifier, which is adjusted as a result of the Company’s total shareholder return over a three-year performance period. The performance modifier for PSUs can vary between 0% (minimum) and 250% (maximum) of the target (100%) award amount. The grant date fair value of PSUs granted in March 2025 and 2024 was estimated using the Monte Carlo simulation model and the significant valuation assumptions used in those models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17, 2025 PSU</w:t>
            </w:r>
          </w:p>
        </w:tc>
        <w:tc>
          <w:tcPr>
            <w:tcW w:w="40" w:type="dxa"/>
            <w:vAlign w:val="bottom"/>
          </w:tcPr>
          <w:p>
            <w:pPr>
              <w:spacing w:after="0"/>
              <w:rPr>
                <w:sz w:val="15"/>
                <w:szCs w:val="15"/>
                <w:color w:val="auto"/>
              </w:rPr>
            </w:pPr>
          </w:p>
        </w:tc>
        <w:tc>
          <w:tcPr>
            <w:tcW w:w="144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March 15, 2024 PSU</w:t>
            </w:r>
          </w:p>
        </w:tc>
      </w:t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Grant</w:t>
            </w:r>
          </w:p>
        </w:tc>
      </w:tr>
      <w:tr>
        <w:trPr>
          <w:trHeight w:val="37"/>
        </w:trPr>
        <w:tc>
          <w:tcPr>
            <w:tcW w:w="56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 (years)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Volatility</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26.63 %</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r>
      <w:tr>
        <w:trPr>
          <w:trHeight w:val="486"/>
        </w:trPr>
        <w:tc>
          <w:tcPr>
            <w:tcW w:w="7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the Company’s total stock-based compensation expense is presented below:</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5"/>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0"/>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3"/>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26,168</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75,232</w:t>
            </w:r>
          </w:p>
        </w:tc>
        <w:tc>
          <w:tcPr>
            <w:tcW w:w="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66,286</w:t>
            </w:r>
          </w:p>
        </w:tc>
      </w:tr>
    </w:tbl>
    <w:p>
      <w:pPr>
        <w:spacing w:after="0" w:line="25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stock-based compensation expense above excludes $0.7 million and $0.6 million of stock-based compensation expense capitalized to software development costs during the three months ended September 30, 2025 and 2024, respectively, and $2.0 million and $1.8 million during the nine months ended September 30, 2025 and 2024,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0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December 5, 2022, the Company announced that its board of directors authorized a new share repurchase program (the “2022 Share Repurchase Program”), after completing in October 2022, the $150.0 million of total repurchases of the Company’s Class A common stock authorized under its previous share repurchase program. The 2022 Share Repurchase Program was authorized to continue to offset annual dilution from stock-based compensation plans, as well as to opportunistically repurchase the Company’s Class A common stock. The 2022 Share Repurchase Program authorizes the purchase of up to $300.0 million of the Company’s Class A common stock at the Company’s discretion and has no termination date. The 2022 Share Repurchase Program can be effected through regular open-market purchases (which may include repurchase plans designed to comply with Rule 10b-18 or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the Company’s Class A common stock and other factors. The 2022 Share Repurchase Program does not require the Company to acquire a specific number of shares and may be suspended, amended or discontinued at any time. There were no share repurchases during the three and nine months ended September 30, 2025. During the three and nine months ended September 30, 2024, the Company acquired a total of 214,795 shares of Class A common stock at an average price of $116.41 for purchases totaling $25.0 million. As of September 30, 2025, a total of $179.9 million remained available for repurchase pursuant to the 2022 Share Repurchase Program.</w:t>
      </w:r>
    </w:p>
    <w:p>
      <w:pPr>
        <w:spacing w:after="0" w:line="14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shares repurchased pursuant to the 2022 Share Repurchase Program, the excess of the repurchase price paid over the par value of the Class A common stock is recorded as a reduction to retained earnings.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Share Repurchases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2025 and 2024, the Company withheld 8,630 and 18,797 shares, respectively, of Class A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employee stock option, PRSU and RSU awards, at an average price per share of $141.05 and $111.79, respectively, and an aggregate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$1.2 million and $2.1 million, respectively, based on the price of the Class A common stock on the date the relevant withholding occurred.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2025 and 2024, the Company withheld 355,158 and 474,123 shares, respectively, of Class A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employee stock option, PRSU and RSU awards, at an average price per share of $137.55 and $97.82, respectively, and an aggregate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$48.9 million and $46.4 million, respectively, based on the price of the Class A common stock on the date the relevant withholding occurred. These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withheld in order for the Company to cover the employee payroll tax withholding obligations upon the exercise of stock options and settlement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and PRSUs and such shares were not withheld in connection with the share repurchase programs discussed above.</w:t>
      </w:r>
    </w:p>
    <w:p>
      <w:pPr>
        <w:spacing w:after="0" w:line="16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enters into transactions with its affiliates from time to time which are considered to be related party transactions.</w:t>
      </w:r>
    </w:p>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following balances relating to transactions with related parties were included in the condensed consolidated statements of financial condition in the following line items: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r>
      <w:tr>
        <w:trPr>
          <w:trHeight w:val="230"/>
        </w:trPr>
        <w:tc>
          <w:tcPr>
            <w:tcW w:w="8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8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r>
      <w:tr>
        <w:trPr>
          <w:trHeight w:val="23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r>
    </w:tbl>
    <w:p>
      <w:pPr>
        <w:spacing w:after="0" w:line="67" w:lineRule="exact"/>
        <w:rPr>
          <w:sz w:val="20"/>
          <w:szCs w:val="20"/>
          <w:color w:val="auto"/>
        </w:rPr>
      </w:pPr>
    </w:p>
    <w:p>
      <w:pPr>
        <w:ind w:left="340" w:right="180" w:hanging="332"/>
        <w:spacing w:after="0" w:line="271" w:lineRule="auto"/>
        <w:tabs>
          <w:tab w:leader="none" w:pos="3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2025, other assets includes a $5.0 million equity method investment representing a 50% equity interest in iAltA Capital Markets, LLC (“iAltA Capital”), in which an entity affiliated with a member of the Company’s board of directors is the other 50% investor (“iAltA Holdings”) and the Company’s director is also the Chief Executive Officer of both iAltA Capital and iAltA Holdings.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amounts relating to transactions with related parties were included in the condensed consolidated statements of income in the following line items: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4"/>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7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29"/>
        </w:trPr>
        <w:tc>
          <w:tcPr>
            <w:tcW w:w="56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LSEG market data fees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61,593</w:t>
            </w:r>
          </w:p>
        </w:tc>
      </w:tr>
      <w:tr>
        <w:trPr>
          <w:trHeight w:val="27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fees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9"/>
        </w:trPr>
        <w:tc>
          <w:tcPr>
            <w:tcW w:w="5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23"/>
                <w:szCs w:val="23"/>
                <w:b w:val="1"/>
                <w:bCs w:val="1"/>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r>
      <w:tr>
        <w:trPr>
          <w:trHeight w:val="229"/>
        </w:trPr>
        <w:tc>
          <w:tcPr>
            <w:tcW w:w="5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58" w:lineRule="exact"/>
        <w:rPr>
          <w:sz w:val="20"/>
          <w:szCs w:val="20"/>
          <w:color w:val="auto"/>
        </w:rPr>
      </w:pPr>
    </w:p>
    <w:p>
      <w:pPr>
        <w:ind w:left="340" w:right="80" w:hanging="332"/>
        <w:spacing w:after="0" w:line="271"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 market data license agreement with an affiliate of LSEG. Under the agreement, the Company delivers to LSEG certain market data feeds which LSEG distributes to its customers. The Company earns license fees and royalties for these feeds.</w:t>
      </w: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agreements with LSEG to provide the Company with certain market data, office space, finance, human resources and other administrative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hanging="392"/>
        <w:spacing w:after="0"/>
        <w:tabs>
          <w:tab w:leader="none" w:pos="4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 and Other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and Other Assets Measured at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and other assets measured at fair value on the condensed consolidated statements of financial condition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December 31, 2024 have been categorized based upon the fair value hierarchy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6"/>
                <w:szCs w:val="16"/>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5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2"/>
                <w:szCs w:val="12"/>
                <w:b w:val="1"/>
                <w:bCs w:val="1"/>
                <w:color w:val="auto"/>
              </w:rPr>
              <w:t>active Markets</w:t>
            </w: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5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00" w:type="dxa"/>
            <w:vAlign w:val="bottom"/>
          </w:tcPr>
          <w:p>
            <w:pPr>
              <w:spacing w:after="0"/>
              <w:rPr>
                <w:sz w:val="8"/>
                <w:szCs w:val="8"/>
                <w:color w:val="auto"/>
              </w:rPr>
            </w:pPr>
          </w:p>
        </w:tc>
        <w:tc>
          <w:tcPr>
            <w:tcW w:w="122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5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September 30, 2025</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 and other highly liquid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1,660,643</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1,660,643</w:t>
            </w: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Digital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Canton Coins</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55,759</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55,759</w:t>
            </w: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 – Investment in available for sale debt securities</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20,197</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1,660,643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1,736,599</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 – Foreign exchange derivative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 and other highly liquid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1,117,133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1,117,133</w:t>
            </w: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 – Foreign exchange derivative contracts</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Digital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Canton Coins</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Investment in available for sale debt securities</w:t>
            </w:r>
          </w:p>
        </w:tc>
        <w:tc>
          <w:tcPr>
            <w:tcW w:w="14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1,136,183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0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classified within level 1 of the fair value hierarchy because they are valued using quoted market prices in active markets.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Available-for-Sale Debt Securities</w:t>
      </w:r>
    </w:p>
    <w:p>
      <w:pPr>
        <w:spacing w:after="0" w:line="2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April 2024, the Company made a strategic investment in a convertible note with a principal amount and original amortized cost basis of $10.0 million. The investment was made as part of the Company’s broader initiative to support the digitization of capital markets through the adoption of blockchain technology. The note accrues interest at a rate of 5% per annum, compounded annually, and matures on the earliest to occur of January 19, 2027, an event of default or a change in control as each term is defined in the convertible note. The note and accrued interest will convert to equity securities of the issuer on January 19, 2027, if not previously repaid or converted upon certain defined financing events. The convertible note is accounted for as an available-for-sale debt security and the convertible note and accrued interest is included within other assets on the accompanying condensed consolidated statements of financial condition at a fair value of $20.2 million and $10.4 million as of September 30, 2025 and December 31, 2024, respectively. The convertible note, including accrued interest, had an amortized cost basis of $10.7 million and $10.4 million as of September 30, 2025 and December 31, 2024, respectively. There were no credit losses recorded on the convertible note during the three and nine months ended September 30, 2025. During the three and nine months ended September 30, 2025, there were $5.9 million and $9.5 million of unrealized gains, respectively, recorded as a component of other comprehensive income related to an increase in fair value of the convertible note during the periods. There were no fair value adjustments or credit losses recorded on the convertible note during the three and nine months ended September 30, 2024. The convertible note is classified within level 3 of the fair value hierarchy because the valuation requires assumptions that are both significant and unobservable. The primary methods used to estimate the fair value of the convertible note were a discounted cash flow analysis and a probability-weighted expected return model which incorporated the credit risk of the issuer and scenarios in which the note would convert into equity, the estimated equity value of the issuer and the conversion terms outlined in the convertible note agreement. Significant unobservable inputs included a discount rate of 15%. Significant increases or decreases in the discount rate would have resulted in a significantly lower or higher fair value measurement.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Assets - Canton Coins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Canton Network is a public-permissioned blockchain network designed with privacy and controls to facilitate the exchange of regulated financial assets. The Canton Network’s Global Synchronizer includes a utility token, which is a digital asset called the Canton Coin. Beginning in the third quarter of 2024, the Company earned and continues to earn Canton Coins for its function as a Super Validator and Validator on the Global Synchronizer, and then generally holds the Canton Coins on its balance sheet for investment purposes and may use Canton Coins to pay fees associated with its own Canton Network activity. During the three and nine months ended September 30, 2025, the Company recognized $2.3 million and $4.4 million, respectively, in other revenue relating to Canton Coins earned in exchange for providing services as a Super Validator and Validator. During both the three and nine months ended September 30, 2024, the Company recognized $0.4 million in other revenue relating to Canton Coins earned in exchange for providing services as a Super Validator and Validator. As of September 30, 2025, Canton Coins may only be transferred to other approved participants on the Canton Network and there is no public market for Canton Coins.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Canton Coin holdings as of September 30, 2025 and December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27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278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Quantity of Coins</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Quantity of Coins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9"/>
        </w:trPr>
        <w:tc>
          <w:tcPr>
            <w:tcW w:w="2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
        </w:trPr>
        <w:tc>
          <w:tcPr>
            <w:tcW w:w="2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Canton Coins</w:t>
            </w: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1.7 billion</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55,759</w:t>
            </w:r>
          </w:p>
        </w:tc>
        <w:tc>
          <w:tcPr>
            <w:tcW w:w="8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1.2 billion</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bl>
    <w:p>
      <w:pPr>
        <w:spacing w:after="0" w:line="25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Company’s Canton Coin holdings are classified within level 3 of the fair value hierarchy because the valuation requires assumptions that are both significant and unobservable. The Company utilized the assistance of a third-party valuation specialist to determine the fair value of its Canton Coins. Because of the lack of a public market, the fair value was determined using a combination of a development cost approach and a market approach and then applying a discount for lack of marketability determined using a Black-Scholes option-pricing model. The Company’s valuation of its Canton Coins is highly subjective. As the Company held 1.7 billion and 1.2 billion Canton Coins as of September 30, 2025 and December 31, 2024, respectively, a significant increase or decrease in either the estimated development costs or market price, the weighting of the development cost versus the market approaches, or the discount for lack of marketability applied could have resulted in a significant change to the fair value measurement.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Roll Forward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summary of the changes in fair value for level 3 assets during the three and nine months ended September 30,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256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7"/>
                <w:szCs w:val="17"/>
                <w:color w:val="auto"/>
              </w:rPr>
            </w:pPr>
          </w:p>
        </w:tc>
      </w:tr>
      <w:tr>
        <w:trPr>
          <w:trHeight w:val="23"/>
        </w:trPr>
        <w:tc>
          <w:tcPr>
            <w:tcW w:w="5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5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5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5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Investment in Available for Sale Debt Securities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14,132</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3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5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realized and unrealized gains included in other comprehensive</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20,197</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20,197</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10,228</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5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Digital Assets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7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realized and unrealized gains included in other income (loss), net</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43,249</w:t>
            </w:r>
          </w:p>
        </w:tc>
        <w:tc>
          <w:tcPr>
            <w:tcW w:w="8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65,535</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2025, the Company sold a portion of its Canton Coin holdings for cash proceeds totaling</w:t>
      </w:r>
    </w:p>
    <w:p>
      <w:pPr>
        <w:spacing w:after="0" w:line="27"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$15.0 million and recognized a realized gain on the sale totaling $14.9 million, included as a component of other income (loss), net on the accompanying condensed consolidated statements of income. There were no material realized gains or realized losses recorded on the disposition of digital assets during the three or nine months ended September 30, 2024.</w:t>
      </w:r>
    </w:p>
    <w:p>
      <w:pPr>
        <w:spacing w:after="0" w:line="14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recognized unrealized gains relating to level 3 assets held at September 30, 2025 totaling $29.8 million and $50.6 million, respectively, included as a component of other income (loss), net on the accompanying condensed consolidated statements of income and $5.9 million and $9.5 million, respectively, included as a component of other comprehensive income on the accompanying condensed consolidated statements of comprehensive income. During both the three and nine months ended September 30, 2024, the Company recognized $10,000 in unrealized gains relating to level 3 assets held at September 30, 2024, included as a component of other income (loss), net on the accompanying condensed consolidated statements of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Derivative Contracts</w:t>
      </w:r>
    </w:p>
    <w:p>
      <w:pPr>
        <w:spacing w:after="0" w:line="187"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The Company enters into foreign currency forward contracts to mitigate its U.S. dollar and British pound sterling versus euro exposure, generally with a duration of less than 12 months. The valuations for the Company’s foreign currency forward contracts are primarily based on the difference between the exchange rate associated with the contract and the exchange rate at the current period end for the tenor of the contract. Foreign currency forward contracts are categorized as Level 2 in the fair value hierarchy. As of September 30, 2025 and December 31, 2024, the counterparty on each of these foreign exchange derivative contracts was an affiliate of LSEG and therefore the corresponding assets or liabilities on such contracts were included in receivable and due from affiliates or payable and due to affiliates, respectively, on the accompanying condensed consolidated statements of financial condition.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U.S. dollar equivalent notional amount of the Company’s foreign exchange derivative contracts not designated as hedges for accounting purposes: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1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4"/>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 Gross notional amount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328,276</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238,182</w:t>
            </w:r>
          </w:p>
        </w:tc>
      </w:tr>
    </w:tbl>
    <w:p>
      <w:pPr>
        <w:spacing w:after="0" w:line="25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Company’s foreign exchange derivative contracts are not designated as hedges for accounting purposes and changes in the fair value of these contracts during the period are recognized in the condensed consolidated statements of income. The total realized and unrealized gains (losses) on foreign exchange derivative contracts recorded within the condensed consolidated statements of income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4"/>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2"/>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5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5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7"/>
        </w:trPr>
        <w:tc>
          <w:tcPr>
            <w:tcW w:w="5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25"/>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not designated in accounting hedge</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relationship – General and administrative (expenses)/income</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r>
      <w:tr>
        <w:trPr>
          <w:trHeight w:val="904"/>
        </w:trPr>
        <w:tc>
          <w:tcPr>
            <w:tcW w:w="5340" w:type="dxa"/>
            <w:vAlign w:val="bottom"/>
          </w:tcPr>
          <w:p>
            <w:pPr>
              <w:spacing w:after="0"/>
              <w:rPr>
                <w:sz w:val="24"/>
                <w:szCs w:val="2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w:t>
      </w:r>
    </w:p>
    <w:p>
      <w:pPr>
        <w:spacing w:after="0" w:line="20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color w:val="auto"/>
        </w:rPr>
        <w:t>The Company’s financial instruments not measured at fair value on the condensed consolidated statements of financial condition as of September 30, 2025 and December 31, 2024 have been categorized based upon the fair value hierarchy as follows:</w:t>
      </w: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6"/>
                <w:szCs w:val="16"/>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37"/>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of September 30, 2025</w:t>
            </w: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1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248,279</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248,279</w:t>
            </w:r>
          </w:p>
        </w:tc>
        <w:tc>
          <w:tcPr>
            <w:tcW w:w="0" w:type="dxa"/>
            <w:vAlign w:val="bottom"/>
          </w:tcPr>
          <w:p>
            <w:pPr>
              <w:spacing w:after="0"/>
              <w:rPr>
                <w:sz w:val="1"/>
                <w:szCs w:val="1"/>
                <w:color w:val="auto"/>
              </w:rPr>
            </w:pPr>
          </w:p>
        </w:tc>
      </w:tr>
      <w:tr>
        <w:trPr>
          <w:trHeight w:val="176"/>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91,640</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64,936</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271,241</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679,221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79,662</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224,169</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224,169</w:t>
            </w:r>
          </w:p>
        </w:tc>
        <w:tc>
          <w:tcPr>
            <w:tcW w:w="0" w:type="dxa"/>
            <w:vAlign w:val="bottom"/>
          </w:tcPr>
          <w:p>
            <w:pPr>
              <w:spacing w:after="0"/>
              <w:rPr>
                <w:sz w:val="1"/>
                <w:szCs w:val="1"/>
                <w:color w:val="auto"/>
              </w:rPr>
            </w:pPr>
          </w:p>
        </w:tc>
      </w:tr>
      <w:tr>
        <w:trPr>
          <w:trHeight w:val="175"/>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67,805</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54,702</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222,268</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571,862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278,871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290,073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571,862</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condensed consolidated statements of financial condition, are classified within level 3 of the fair value hierarchy because the valuation requires assumptions that are both significant and unobservable.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202"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Company measures certain assets and liabilities at fair value on a non-recurring basis, such as assets acquired in a business combination, intangible assets, equity method investments and equity investments without readily determinable fair values for which the measurement alternative has been elected.</w:t>
      </w:r>
    </w:p>
    <w:p>
      <w:pPr>
        <w:spacing w:after="0" w:line="9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Included in other assets on the condensed consolidated statements of financial condition is an equity method investment of $5.0 million and none as of September 30, 2025 and December 31, 2024, respectively. As of September 30, 2025, the Company also had $5.0 million in unfunded capital commitment related to its equity method investment.</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Included in other assets on the condensed consolidated statements of financial condition are minority equity investments in various companies without readily determinable fair values of $42.0 million and $17.8 million as of September 30, 2025 and December 31, 2024, respectively. The Company’s equity investments are subject to general contractual sale restrictions that prohibit the transfer or sale of the investment without prior consent of the investee and/or other investors.</w:t>
      </w:r>
    </w:p>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recorded impairments totaling $3.8 million and $9.2 million, respectively, on its minority equity investments, as the investments’ carrying amounts exceeded their fair value. The investment impairments are included in other income (loss) in the condensed consolidated statements of income. Of these, impairments of $3.3 million and $5.4 million were recorded during the nine months ended September 30, 2025 based on the respective investment’s fair value as of September 30, 2025 and June 30, 2025, respectively, determined using a discounted cash flow model, utilizing primarily Level 3 inputs. Significant unobservable inputs for these investments included discount rates ranging from 13.5% to 25.0% (weighted average: 16.9%) and perpetual growth rates ranging from 2.0% to 3.0% (weighted average: 2.3%), weighted based on the relative fair value of the investment. In September 2025, the Company also determined one of its investments was not likely recoverable and the investment balance was reduced to zero, resulting in the additional $0.5 million impairment recorded during the three and nine months ended September 30, 2025. There were no impairments recorded on minority equity investments during the three and nine months ended September 30, 2024.</w:t>
      </w:r>
    </w:p>
    <w:p>
      <w:pPr>
        <w:spacing w:after="0" w:line="14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Credit Risk</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The Company seeks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pacing w:after="0" w:line="1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self-clears U.S. Treasury trades executed by non-FICC members on the Company’s wholesale trading platform. The number of self-cleared trades that settle over the fed wire, instead of FICC clearing, may impact the number of U.S. Treasury failed settlement transactions. As of September 30, 2025, the Company recorded a $91.6 million receivable and a $79.7 million payable from/to brokers and dealers and clearing organizations related to failed settlement transactions and the Company self-funded the remaining $12.0 million difference between the fail to deliver and fail to receive. All of the above failed settlement transactions outstanding as of September 30, 2025 were fully settled during October 2025.</w:t>
      </w:r>
    </w:p>
    <w:p>
      <w:pPr>
        <w:spacing w:after="0" w:line="143" w:lineRule="exact"/>
        <w:rPr>
          <w:sz w:val="20"/>
          <w:szCs w:val="20"/>
          <w:color w:val="auto"/>
        </w:rPr>
      </w:pPr>
    </w:p>
    <w:p>
      <w:pPr>
        <w:jc w:val="both"/>
        <w:ind w:right="200"/>
        <w:spacing w:after="0" w:line="281" w:lineRule="auto"/>
        <w:rPr>
          <w:sz w:val="20"/>
          <w:szCs w:val="20"/>
          <w:color w:val="auto"/>
        </w:rPr>
      </w:pPr>
      <w:r>
        <w:rPr>
          <w:rFonts w:ascii="Times New Roman" w:cs="Times New Roman" w:eastAsia="Times New Roman" w:hAnsi="Times New Roman"/>
          <w:sz w:val="17"/>
          <w:szCs w:val="17"/>
          <w:color w:val="auto"/>
        </w:rPr>
        <w:t>Additionally, in the normal course of business, the Company, as an introducing broker, executes transactions on behalf of or with clients of the Company, which are cleared by a clearing broker. As between the Company and the clearing broker, the Company is responsible for losses that may result from the clearing broker’s rejection, reversal or cancellation of a transaction. If there are temporary errors or delays in the processing or settlement of transactions, the clearing broker may require, usually with two business days notice, that the Company provide cash deposits until the errors are resolved.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00"/>
        <w:spacing w:after="0" w:line="289" w:lineRule="auto"/>
        <w:rPr>
          <w:sz w:val="20"/>
          <w:szCs w:val="20"/>
          <w:color w:val="auto"/>
        </w:rPr>
      </w:pPr>
      <w:r>
        <w:rPr>
          <w:rFonts w:ascii="Times New Roman" w:cs="Times New Roman" w:eastAsia="Times New Roman" w:hAnsi="Times New Roman"/>
          <w:sz w:val="17"/>
          <w:szCs w:val="17"/>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3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balances are pooled based on the following risk characteristics:</w:t>
      </w:r>
    </w:p>
    <w:p>
      <w:pPr>
        <w:spacing w:after="0" w:line="2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location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 type (billing type)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entity</w:t>
      </w:r>
    </w:p>
    <w:p>
      <w:pPr>
        <w:spacing w:after="0" w:line="16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An allowance for credit losses is also recognized for any credit impairment for available-for-sale debt securities. There was no allowance for credit losses recorded on available-for-sale debt securities as of September 30, 2025 and December 31, 2024 and there were no credit losses on available-for-sale debt securities recognized during each of the three and nine months ended September 30, 2025 and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Write-Offs</w:t>
      </w:r>
    </w:p>
    <w:p>
      <w:pPr>
        <w:spacing w:after="0" w:line="200"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Once determined uncollectible, aged balances are written off against the allowance for credit losses.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the Company maintained an allowance for credit losses with regard to its receivables of $0.3 million and $0.4 million, respectively. For the three months ended September 30, 2025 and 2024, credit loss expense was $3,000 and $43,000, respectively. For the nine months ended September 30, 2025 and 2024, recoveries resulted in a reversal of credit loss expense totaling $161,000 and $28,000, respectively.</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lawsuits and other legal proceedings, including reviews, investigations and proceedings by governmental and self-regulatory agencies regarding its business. While the ultimate resolution of these matters cannot presently be determined, the Company does not believe that, taking into account any applicable insurance coverage, any of the pending legal proceedings could reasonably be expected to have a material adverse effect on its business, financial condition or results of operations.</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with its clients which provide the clients with indemnification rights, including in the event that the electronic marketplaces of the Company infringe upon the intellectual property or other proprietary right of a third party. The Company’s exposure under these agreements is unknown as this would involve estimating future claims against the Company which have not yet occurred. However, based on its experience, the Company expects the risk of a material loss to be remote.</w:t>
      </w:r>
    </w:p>
    <w:p>
      <w:pPr>
        <w:spacing w:after="0" w:line="13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Although the 2017 antitrust claims against the Company relating to interest rate swaps were dismissed, the claims brought by certain swap execution facilities against the remaining defendant financial institutions continues and could still be appealed as to the Company.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and therefore does not have any contingency reserves established for any of these matters.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November 21, 2023, the Company entered into a five year, $500.0 million unsecured revolving credit facility (the “2023 Revolving Credit Facility”) with a syndicate of banks, which replaced its $500.0 million secured credit facility entered into on April 8, 2019.</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2023 Revolving Credit Facility provides borrowing capacity to be used to fund ongoing working capital needs, letters of credit and for general corporate purposes, including potential future acquisitions and expansions. Subject to the satisfaction of certain conditions, the Company is able to increase the 2023 Revolving Credit Facility by $250.0 million with the consent of the lenders participating in the increase. Borrowings under the 2023 Revolving Credit Facility may be, at the option of the Company, in U.S. dollars, Euros or Sterling. The 2023 Revolving Credit Facility also provides for the issuance of up to $5.0 million of letters of credit as well as borrowings on same-day notice, referred to as swingline loans, in an amount of up to $50.0 million. The 2023 Revolving Credit Facility will mature on November 21, 2028.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2023 Revolving Credit Facility bear interest at a rate equal to, at the Company’s option, either (a) a base rate equal to the greatest of</w:t>
      </w:r>
    </w:p>
    <w:p>
      <w:pPr>
        <w:spacing w:after="0" w:line="27" w:lineRule="exact"/>
        <w:rPr>
          <w:sz w:val="20"/>
          <w:szCs w:val="20"/>
          <w:color w:val="auto"/>
        </w:rPr>
      </w:pPr>
    </w:p>
    <w:p>
      <w:pPr>
        <w:ind w:firstLine="8"/>
        <w:spacing w:after="0" w:line="252" w:lineRule="auto"/>
        <w:tabs>
          <w:tab w:leader="none" w:pos="2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prime rate, (ii) the federal funds effective rate plus ½ of 1.00% and (iii) one month Term SOFR plus 1.00% plus a credit adjustment spread of 0.10%, in each case plus a margin based on the Company’s consolidated net leverage ratio ranging from 0.25% to 0.75%, or (b) a rate equal to (i) in the case of borrowings in U.S. dollars, Term SOFR plus a credit adjustment spread of 0.10%, subject to a 0.00% floor, (ii) in the case of borrowings in Sterling, SONIA subject to a 0.00% floor, and (iii) in the case of borrowings in Euros, EURIBOR, subject to a 0.00% floor, in each case plus a margin based on the Company’s consolidated net leverage ratio ranging from 1.25% to 1.75%. The agreement that governs the 2023 Revolving Credit Facility also includes a commitment fee of 0.25% for available but unborrowed amounts and other administrative fees that are payable quarterly. Financial covenant requirements include maintaining minimum ratios related to interest coverage and leverage.</w:t>
      </w:r>
    </w:p>
    <w:p>
      <w:pPr>
        <w:spacing w:after="0" w:line="14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both September 30, 2025 and December 31, 2024, there were $0.5 million in letters of credit issued and no borrowings outstanding under the 2023 Revolving Credit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operating leases for corporate offices and data centers with initial lease terms ranging from one to 16 years.</w:t>
      </w:r>
    </w:p>
    <w:p>
      <w:pPr>
        <w:spacing w:after="0" w:line="252"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8"/>
          <w:szCs w:val="18"/>
          <w:color w:val="auto"/>
        </w:rPr>
        <w:t>In June 2024, the Company entered into a non-cancellable operating lease for its new corporate headquarters in New York City. The lease commenced in September 2025, with an initial lease term through May 2041 and either a five or a ten-year extension option available. The Company is not reasonably certain to exercise these options, and they are excluded from the lease term and measurement. Upon lease commencement, the Company recognized an operating lease right-of-use asset and corresponding lease liability of $92.9 million and $103.5 million, respectively, measured using an incremental borrowing rate of 5.3% determined based on a collateralized rate with a term commensurate with the lease term at the commencement date and recorded $11.4 million in leasehold improvements. The Company’s prior New York City office lease expired on September 30, 2025.</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future minimum lease payments and the maturity of lease liabilities as of September 30,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4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186"/>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Reminder of 2025</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16,958</w:t>
            </w:r>
          </w:p>
        </w:tc>
      </w:tr>
      <w:tr>
        <w:trPr>
          <w:trHeight w:val="27"/>
        </w:trPr>
        <w:tc>
          <w:tcPr>
            <w:tcW w:w="9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20,791</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14,450</w:t>
            </w:r>
          </w:p>
        </w:tc>
      </w:tr>
      <w:tr>
        <w:trPr>
          <w:trHeight w:val="27"/>
        </w:trPr>
        <w:tc>
          <w:tcPr>
            <w:tcW w:w="9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124,140</w:t>
            </w:r>
          </w:p>
        </w:tc>
      </w:tr>
      <w:tr>
        <w:trPr>
          <w:trHeight w:val="27"/>
        </w:trPr>
        <w:tc>
          <w:tcPr>
            <w:tcW w:w="9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192,753</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(57,120)</w:t>
            </w:r>
          </w:p>
        </w:tc>
      </w:tr>
      <w:tr>
        <w:trPr>
          <w:trHeight w:val="27"/>
        </w:trPr>
        <w:tc>
          <w:tcPr>
            <w:tcW w:w="9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8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135,633</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calculations of basic and diluted earnings per share of Class A and Class B common stock for Tradeweb Markets Inc.: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56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2560" w:type="dxa"/>
            <w:vAlign w:val="bottom"/>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9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Numerator:</w:t>
            </w:r>
          </w:p>
        </w:tc>
        <w:tc>
          <w:tcPr>
            <w:tcW w:w="47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185,636</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113,916</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487,800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359,297</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54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Less: Distributed and undistributed earnings allocated to participating</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5540" w:type="dxa"/>
            <w:vAlign w:val="bottom"/>
            <w:gridSpan w:val="3"/>
            <w:shd w:val="clear" w:color="auto" w:fill="CCEEFF"/>
          </w:tcPr>
          <w:p>
            <w:pPr>
              <w:ind w:left="420"/>
              <w:spacing w:after="0" w:line="237" w:lineRule="exact"/>
              <w:rPr>
                <w:sz w:val="20"/>
                <w:szCs w:val="20"/>
                <w:color w:val="auto"/>
              </w:rPr>
            </w:pPr>
            <w:r>
              <w:rPr>
                <w:rFonts w:ascii="Times New Roman" w:cs="Times New Roman" w:eastAsia="Times New Roman" w:hAnsi="Times New Roman"/>
                <w:sz w:val="18"/>
                <w:szCs w:val="18"/>
                <w:color w:val="auto"/>
              </w:rPr>
              <w:t xml:space="preserve">securities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40" w:type="dxa"/>
            <w:vAlign w:val="bottom"/>
            <w:gridSpan w:val="3"/>
          </w:tcPr>
          <w:p>
            <w:pPr>
              <w:spacing w:after="0" w:line="164" w:lineRule="exact"/>
              <w:rPr>
                <w:sz w:val="20"/>
                <w:szCs w:val="20"/>
                <w:color w:val="auto"/>
              </w:rPr>
            </w:pPr>
            <w:r>
              <w:rPr>
                <w:rFonts w:ascii="Times New Roman" w:cs="Times New Roman" w:eastAsia="Times New Roman" w:hAnsi="Times New Roman"/>
                <w:sz w:val="18"/>
                <w:szCs w:val="18"/>
                <w:color w:val="auto"/>
              </w:rPr>
              <w:t>Net income attributable to outstanding shares of Class A and Class B</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185,498</w:t>
            </w:r>
          </w:p>
        </w:tc>
        <w:tc>
          <w:tcPr>
            <w:tcW w:w="3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113,848</w:t>
            </w:r>
          </w:p>
        </w:tc>
        <w:tc>
          <w:tcPr>
            <w:tcW w:w="80" w:type="dxa"/>
            <w:vAlign w:val="bottom"/>
          </w:tcPr>
          <w:p>
            <w:pPr>
              <w:spacing w:after="0"/>
              <w:rPr>
                <w:sz w:val="14"/>
                <w:szCs w:val="14"/>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487,421</w:t>
            </w:r>
          </w:p>
        </w:tc>
        <w:tc>
          <w:tcPr>
            <w:tcW w:w="80" w:type="dxa"/>
            <w:vAlign w:val="bottom"/>
          </w:tcPr>
          <w:p>
            <w:pPr>
              <w:spacing w:after="0"/>
              <w:rPr>
                <w:sz w:val="14"/>
                <w:szCs w:val="14"/>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359,066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 Basic and Diluted</w:t>
            </w:r>
          </w:p>
        </w:tc>
        <w:tc>
          <w:tcPr>
            <w:tcW w:w="2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554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Weighted average shares of Class A and Class B common stock</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Basic</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213,359,090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213,206,193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213,263,111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213,026,732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PRSUs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564,996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RSUs and RSAs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412,545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PSUs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495,774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534,401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455,291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40" w:type="dxa"/>
            <w:vAlign w:val="bottom"/>
            <w:gridSpan w:val="3"/>
          </w:tcPr>
          <w:p>
            <w:pPr>
              <w:spacing w:after="0" w:line="164" w:lineRule="exact"/>
              <w:rPr>
                <w:sz w:val="20"/>
                <w:szCs w:val="20"/>
                <w:color w:val="auto"/>
              </w:rPr>
            </w:pPr>
            <w:r>
              <w:rPr>
                <w:rFonts w:ascii="Times New Roman" w:cs="Times New Roman" w:eastAsia="Times New Roman" w:hAnsi="Times New Roman"/>
                <w:sz w:val="18"/>
                <w:szCs w:val="18"/>
                <w:color w:val="auto"/>
              </w:rPr>
              <w:t>Weighted average shares of Class A and Class B common stock</w:t>
            </w:r>
          </w:p>
        </w:tc>
        <w:tc>
          <w:tcPr>
            <w:tcW w:w="2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214,983,486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215,096,974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214,951,279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214,885,210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 - Diluted</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right="60" w:hanging="332"/>
        <w:spacing w:after="0" w:line="281" w:lineRule="auto"/>
        <w:tabs>
          <w:tab w:leader="none" w:pos="33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September 30, 2025 and 2024, there was a total of 159,088 and 126,903, respectively, and during the nine months ended September 30, 2025 and 2024, there was a total of 165,713 and 137,252, respectively, weighted average unvested or unsettled vested stock awards that were considered a participating security for purposes of calculating earnings per share in accordance with the two-class method.</w:t>
      </w:r>
    </w:p>
    <w:p>
      <w:pPr>
        <w:spacing w:after="0" w:line="14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shares of Class A or Class B common stock, as applicable, of Tradeweb Markets Inc. The potential dilutive effect of LLC Interests held by Continuing LLC Owners are evaluated under the if-converted method. The potential dilutive effect of PRSUs, shares underlying options, RSUs, RSAs and PSUs are evaluated under the treasury stock method.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PRSUs, shares underlying options, RSUs, RSAs, PSUs and weighted-average LLC Interests held by Continuing LLC Owners that were anti-dilutive for the periods indicated. As a result, these shares, which were outstanding, were excluded from the computation of diluted earnings per share for the periods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80" w:type="dxa"/>
            <w:vAlign w:val="bottom"/>
            <w:gridSpan w:val="3"/>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3"/>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3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0"/>
        </w:trPr>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9"/>
        </w:trPr>
        <w:tc>
          <w:tcPr>
            <w:tcW w:w="2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Anti-dilutive Shares: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PRSUs</w:t>
            </w:r>
          </w:p>
        </w:tc>
        <w:tc>
          <w:tcPr>
            <w:tcW w:w="4040" w:type="dxa"/>
            <w:vAlign w:val="bottom"/>
            <w:tcBorders>
              <w:top w:val="single" w:sz="8" w:color="CCEEFF"/>
            </w:tcBorders>
          </w:tcPr>
          <w:p>
            <w:pPr>
              <w:spacing w:after="0"/>
              <w:rPr>
                <w:sz w:val="19"/>
                <w:szCs w:val="19"/>
                <w:color w:val="auto"/>
              </w:rPr>
            </w:pPr>
          </w:p>
        </w:tc>
        <w:tc>
          <w:tcPr>
            <w:tcW w:w="1880" w:type="dxa"/>
            <w:vAlign w:val="bottom"/>
            <w:tcBorders>
              <w:top w:val="single" w:sz="8" w:color="CCEEFF"/>
            </w:tcBorders>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CCEEFF"/>
            </w:tcBorders>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8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and RSAs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w:t>
            </w:r>
          </w:p>
        </w:tc>
        <w:tc>
          <w:tcPr>
            <w:tcW w:w="18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Interests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23,062,320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23,076,235</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23,065,139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23,077,298</w:t>
            </w:r>
          </w:p>
        </w:tc>
      </w:tr>
    </w:tbl>
    <w:p>
      <w:pPr>
        <w:spacing w:after="0" w:line="24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Regulatory Capital Requirements</w:t>
      </w:r>
    </w:p>
    <w:p>
      <w:pPr>
        <w:spacing w:after="0" w:line="18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TWL, DW, TWD and ICDLC are subject to the Uniform Net Capital Rule 15c3-1 under the Exchange Act and certain of the Company's foreign subsidiaries are subject to financial resource requirements from their local regulators. At September 30, 2025 and December 31, 2024, the regulatory capital requirements and regulatory capital for these entities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58"/>
        </w:trPr>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3"/>
                <w:szCs w:val="13"/>
                <w:color w:val="auto"/>
              </w:rPr>
            </w:pPr>
          </w:p>
        </w:tc>
        <w:tc>
          <w:tcPr>
            <w:tcW w:w="14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Excess Regulatory</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3"/>
                <w:szCs w:val="13"/>
                <w:color w:val="auto"/>
              </w:rPr>
            </w:pPr>
          </w:p>
        </w:tc>
        <w:tc>
          <w:tcPr>
            <w:tcW w:w="1380" w:type="dxa"/>
            <w:vAlign w:val="bottom"/>
          </w:tcPr>
          <w:p>
            <w:pPr>
              <w:jc w:val="right"/>
              <w:ind w:right="112"/>
              <w:spacing w:after="0" w:line="158" w:lineRule="exact"/>
              <w:rPr>
                <w:sz w:val="20"/>
                <w:szCs w:val="20"/>
                <w:color w:val="auto"/>
              </w:rPr>
            </w:pPr>
            <w:r>
              <w:rPr>
                <w:rFonts w:ascii="Times New Roman" w:cs="Times New Roman" w:eastAsia="Times New Roman" w:hAnsi="Times New Roman"/>
                <w:sz w:val="14"/>
                <w:szCs w:val="14"/>
                <w:b w:val="1"/>
                <w:bCs w:val="1"/>
                <w:color w:val="auto"/>
              </w:rPr>
              <w:t>Excess Regulatory</w:t>
            </w:r>
          </w:p>
        </w:tc>
      </w:tr>
      <w:tr>
        <w:trPr>
          <w:trHeight w:val="204"/>
        </w:trPr>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7"/>
                <w:szCs w:val="17"/>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Capital</w:t>
            </w: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27"/>
        </w:trPr>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7"/>
        </w:trPr>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59,886</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199,775</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TWD</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51,600</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23,653</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TWJ</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TWEU</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TESL</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TESBV</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YB</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TDIFC</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ICDLC</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20,251</w:t>
            </w:r>
          </w:p>
        </w:tc>
      </w:tr>
      <w:tr>
        <w:trPr>
          <w:trHeight w:val="260"/>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ICDLT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r>
      <w:tr>
        <w:trPr>
          <w:trHeight w:val="280"/>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ICDEU</w:t>
            </w:r>
          </w:p>
        </w:tc>
        <w:tc>
          <w:tcPr>
            <w:tcW w:w="16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50"/>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TWSA</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SEFs, TW SEF and DW SEF are required to maintain adequate financial resources and liquid financial assets in accordance with CFTC regulations. The required and maintained financial resources and liquid financial assets at September 30, 2025 and December 31, 2024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
        </w:trPr>
        <w:tc>
          <w:tcPr>
            <w:tcW w:w="15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1"/>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Excess Financial</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180" w:type="dxa"/>
            <w:vAlign w:val="bottom"/>
          </w:tcPr>
          <w:p>
            <w:pPr>
              <w:spacing w:after="0"/>
              <w:rPr>
                <w:sz w:val="14"/>
                <w:szCs w:val="14"/>
                <w:color w:val="auto"/>
              </w:rPr>
            </w:pPr>
          </w:p>
        </w:tc>
        <w:tc>
          <w:tcPr>
            <w:tcW w:w="13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Excess Financial</w:t>
            </w:r>
          </w:p>
        </w:tc>
      </w:tr>
      <w:tr>
        <w:trPr>
          <w:trHeight w:val="190"/>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8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80" w:type="dxa"/>
            <w:vAlign w:val="bottom"/>
          </w:tcPr>
          <w:p>
            <w:pPr>
              <w:spacing w:after="0"/>
              <w:rPr>
                <w:sz w:val="16"/>
                <w:szCs w:val="16"/>
                <w:color w:val="auto"/>
              </w:rPr>
            </w:pPr>
          </w:p>
        </w:tc>
        <w:tc>
          <w:tcPr>
            <w:tcW w:w="13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Resources</w:t>
            </w:r>
          </w:p>
        </w:tc>
      </w:tr>
      <w:tr>
        <w:trPr>
          <w:trHeight w:val="37"/>
        </w:trPr>
        <w:tc>
          <w:tcPr>
            <w:tcW w:w="15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6"/>
        </w:trPr>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52,828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34,474</w:t>
            </w:r>
          </w:p>
        </w:tc>
      </w:tr>
      <w:tr>
        <w:trPr>
          <w:trHeight w:val="243"/>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
        </w:trPr>
        <w:tc>
          <w:tcPr>
            <w:tcW w:w="15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r>
      <w:tr>
        <w:trPr>
          <w:trHeight w:val="171"/>
        </w:trPr>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r>
      <w:tr>
        <w:trPr>
          <w:trHeight w:val="190"/>
        </w:trPr>
        <w:tc>
          <w:tcPr>
            <w:tcW w:w="1520" w:type="dxa"/>
            <w:vAlign w:val="bottom"/>
          </w:tcPr>
          <w:p>
            <w:pPr>
              <w:spacing w:after="0"/>
              <w:rPr>
                <w:sz w:val="16"/>
                <w:szCs w:val="16"/>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340" w:type="dxa"/>
            <w:vAlign w:val="bottom"/>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340" w:type="dxa"/>
            <w:vAlign w:val="bottom"/>
          </w:tcPr>
          <w:p>
            <w:pPr>
              <w:spacing w:after="0"/>
              <w:rPr>
                <w:sz w:val="16"/>
                <w:szCs w:val="16"/>
                <w:color w:val="auto"/>
              </w:rPr>
            </w:pPr>
          </w:p>
        </w:tc>
        <w:tc>
          <w:tcPr>
            <w:tcW w:w="12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37"/>
        </w:trPr>
        <w:tc>
          <w:tcPr>
            <w:tcW w:w="15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7"/>
        </w:trPr>
        <w:tc>
          <w:tcPr>
            <w:tcW w:w="1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0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4,375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24,038</w:t>
            </w:r>
          </w:p>
        </w:tc>
      </w:tr>
      <w:tr>
        <w:trPr>
          <w:trHeight w:val="243"/>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2,128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w:t>
            </w:r>
          </w:p>
        </w:tc>
      </w:tr>
    </w:tbl>
    <w:p>
      <w:pPr>
        <w:spacing w:after="0" w:line="2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Business Segment and Geographic Information</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operates electronic marketplaces for the trading of products across the rates, credit, equities and money markets asset classes and provides related pre-trade and post-trade services. Through its electronic marketplaces, the Company facilitates trading by clients across the institutional, wholesale, retail and corporates client sectors and builds comprehensive market data sets that it is able to separately sell to clients, primarily LSEG, as incremental market data revenue. Because of the highly integrated nature of these marketplaces and services and the global financial markets in which the Company competes, the Chief Operating Decision Maker (the “CODM”) reviews financial information on a global consolidated basis for purposes of making operating decisions, allocating resources and evaluating financial performance. As such, the Company has determined it operates as one operating segment and one reportable segment.</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Consolidated net income is the measure of segment profit most consistent with U.S. GAAP that is regularly reviewed by the CODM to allocate resources and assess performance. Significant expense categories included in consolidated net income that are regularly provided to the CODM include employee compensation and benefits, technology and communications, general and administrative, professional fees and occupancy, each as presented on the accompanying condensed consolidated statements of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revenue from external clients by client sector, significant segment expenses and consolidated net income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246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2"/>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5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5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317,148</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266,681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947,162</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759,599</w:t>
            </w:r>
          </w:p>
        </w:tc>
      </w:tr>
      <w:tr>
        <w:trPr>
          <w:trHeight w:val="23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302,894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290,994</w:t>
            </w: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106,810</w:t>
            </w: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w:t>
            </w:r>
          </w:p>
        </w:tc>
      </w:tr>
      <w:tr>
        <w:trPr>
          <w:trHeight w:val="230"/>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30,817</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88,009</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508,598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1,531,246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1,262,605</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164,993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511,563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440,484</w:t>
            </w: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69,840</w:t>
            </w: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44,026</w:t>
            </w: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46,558</w:t>
            </w:r>
          </w:p>
        </w:tc>
      </w:tr>
      <w:tr>
        <w:trPr>
          <w:trHeight w:val="23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15,064</w:t>
            </w:r>
          </w:p>
        </w:tc>
      </w:tr>
      <w:tr>
        <w:trPr>
          <w:trHeight w:val="230"/>
        </w:trPr>
        <w:tc>
          <w:tcPr>
            <w:tcW w:w="560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250,047</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236,612</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210,549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554,376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410,021</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right="140" w:hanging="332"/>
        <w:spacing w:after="0" w:line="282"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 depreciation and amortization, the tax receivable agreement liability adjustment (as applicable), interest income, interest expense, other (income) loss, net and provision for income taxes, each as presented on the accompanying condensed consolidated statements of income.</w:t>
      </w:r>
    </w:p>
    <w:p>
      <w:pPr>
        <w:spacing w:after="0" w:line="15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operates in the U.S. and internationally, primarily in the Europe, Asia and Australia regions. Variable revenues are generally attributed to geographic area based on the jurisdiction where the underlying transactions take place. The attribution of fixed revenues may vary by revenue and contract type. Given the global nature of the financial markets in which we operate and our clients’ worldwide businesses and contracts, the results by geographic region and allocation of revenues to individual countries are not necessarily meaningful in understanding the Company’s business.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measure of segment assets is reported on the accompanying condensed consolidated statements of financial condition as total consolidated assets. Total expenditures for additions to long-lived assets are as reported on the accompanying condensed consolidated statements of cash flows. Long-lived assets are attributed to the geographic area based on the location of the particular subsidiary.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revenue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620" w:type="dxa"/>
            <w:vAlign w:val="bottom"/>
            <w:gridSpan w:val="4"/>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gridSpan w:val="4"/>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3"/>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5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297,435</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279,705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893,119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785,947</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211,163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169,210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638,127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476,658</w:t>
            </w:r>
          </w:p>
        </w:tc>
      </w:tr>
      <w:tr>
        <w:trPr>
          <w:trHeight w:val="22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508,598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448,915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1,531,246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1,262,605</w:t>
            </w:r>
          </w:p>
        </w:tc>
      </w:tr>
      <w:tr>
        <w:trPr>
          <w:trHeight w:val="21"/>
        </w:trPr>
        <w:tc>
          <w:tcPr>
            <w:tcW w:w="55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79"/>
        </w:trPr>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attribution of long-lived assets by geographic area:</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82"/>
        </w:trPr>
        <w:tc>
          <w:tcPr>
            <w:tcW w:w="5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24"/>
                <w:szCs w:val="24"/>
                <w:color w:val="auto"/>
              </w:rPr>
            </w:pPr>
          </w:p>
        </w:tc>
        <w:tc>
          <w:tcPr>
            <w:tcW w:w="11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5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5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4"/>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4,771,324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4,777,770</w:t>
            </w:r>
          </w:p>
        </w:tc>
      </w:tr>
      <w:tr>
        <w:trPr>
          <w:trHeight w:val="229"/>
        </w:trPr>
        <w:tc>
          <w:tcPr>
            <w:tcW w:w="5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29,478</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4,802,142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4,807,248</w:t>
            </w:r>
          </w:p>
        </w:tc>
      </w:tr>
      <w:tr>
        <w:trPr>
          <w:trHeight w:val="20"/>
        </w:trPr>
        <w:tc>
          <w:tcPr>
            <w:tcW w:w="5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0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October 30, 2025, the board of directors of Tradeweb Markets Inc. declared a cash dividend of $0.12 per share of Class A common stock and Class B common stock for the fourth quarter of 2025. This dividend will be payable on December 15, 2025 to stockholders of record as of December 1, 2025.</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October 30, 2025, Tradeweb Markets Inc., as the sole manager, approved a distribution by TWM LLC to its equityholders, including Tradeweb Markets Inc., in an aggregate amount of $108.1 million, as adjusted by required state and local tax withholdings that will be determined prior to the record date of December 1, 2025, payable on December 11, 2025.</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and Refinitiv US LLC and Refinitiv US Organization LLC (together, the “LSEG Parties”) reached an agreement-in-principle to renew the current data schedules under the master data license agreement, effective as of November 1, 2023, between the Company and the LSEG Parties (the “Master Data Agreement”) for an additional three-year term (the “Renewal”). The contemplated Renewal is expected to apply retrospectively to November 1, 2025 and to reflect the broader and deeper quality of data now being provided by the Company under the Master Data Agreement. The contemplated Renewal remains subject to execution of definitive documentation, as well as other factors, including Board approval. Therefore, as contemplated in the current data schedules, on October 29, 2025, the Company delivered notice to the LSEG Parties to commence a 12-month transition period while the Renewal is finalized.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right="80"/>
        <w:spacing w:after="0" w:line="224"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“Basis of Presentation,” “Use of Non-GAAP Financial Measures” and our unaudited condensed consolidated financial statements and related notes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the section titled “Item 1A. Risk Factors” in Part I of the 2024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a leader in building and operating electronic marketplaces for our global network of more than 3,000 clients across the financial ecosystem. Our network is comprised of clients across the institutional, wholesale, retail and corporates client sectors, including many of the largest global asset managers, hedge funds, insurance companies, central banks, banks and dealers, proprietary trading firms, retail brokerage and financial advisory firms, regional dealers and corporations. Our marketplaces facilitate trading across a range of asset classes, including rates, credit, equities and money markets. We are a global company serving clients in over 85 countries with offices in North America, South America, Europe, Australia, Asia and the Middle East.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and analytics.</w:t>
      </w:r>
    </w:p>
    <w:p>
      <w:pPr>
        <w:spacing w:after="0" w:line="16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institutional client sector serves institutional investors in over 85 countries around the globe and across over 30 currencies.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3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 our wholesale client sector, we provide a broad range of electronic, voice and hybrid platforms to dealers and financial institutions trading on our electronic or hybrid markets with our Dealerweb platform. This platform was launched in 2008 following the acquisition of inter-dealer broker Hilliard Farber &amp; Co., Inc. In 2011, we acquired the brokerage assets of Rafferty Capital Markets and in June 2021, we acquired Nasdaq’s U.S. fixed income electronic trading platform (formerly known as eSpeed) (the “NFI Acquisition”). Today, Dealerweb actively competes across a range of rates, credit, money markets, derivatives and equity markets.</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provides financial advisory firms access to live offerings, accurate pricing in the marketplace and fast execution.</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our corporates client sector, we provide comprehensive investment technology and research solutions tailored to the needs of corporate treasury organizations globally. These solutions enable efficient trading of institutional money market funds and other short-term investments. We expanded into the corporates client sector through our acquisition of Institutional Cash Distributors (“ICD”) on August 1, 2024 (the “ICD Acquisition”). The addition of ICD to our network broadened our product suite, further diversified our client and revenue base and strengthened our position in the corporate treasury space, enabling us to provide a more comprehensive range of liquidity management tools and services.</w:t>
      </w:r>
    </w:p>
    <w:p>
      <w:pPr>
        <w:spacing w:after="0" w:line="1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Impacting Our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7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From time to time, we may evaluate potential acquisitions and engage in discussions and negotiations regarding potential acquisitions. Our revenues and profitability are affected by our acquisition activity, including the speed and cost at which we successfully integrate completed acquisitions into our existing business operations.</w:t>
      </w:r>
    </w:p>
    <w:p>
      <w:pPr>
        <w:spacing w:after="0" w:line="136"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On August 1, 2024, we completed our acquisition of ICD. From the date of ICD Acquisition through September 30, 2024, ICD revenues of $17.2 million and an operating loss of $0.3 million, including $7.3 million of depreciation and amortization expense, were included in our condensed consolidated statements of income for the three and nine months ended September 30, 2024. See Note 4 – Acquisitions to the condensed consolidated financial statements included elsewhere in this Quarterly Report on Form 10-Q for additional details of this acquisition.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Environment</w:t>
      </w:r>
    </w:p>
    <w:p>
      <w:pPr>
        <w:spacing w:after="0" w:line="189"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during the remainder of 2025 include, among other things, evolving monetary policies of central banks, economic, political and social conditions, legislative, regulatory or government policy changes, including recent and potential future changes in tariffs, international trade agreements or trade policies and other potential material changes to prior laws, rules and regulations, guidance and enforcement stances, geopolitical tensions in the Middle East and concerns with respect to the banking industry, including as a result of any bank failures.</w:t>
      </w:r>
    </w:p>
    <w:p>
      <w:pPr>
        <w:spacing w:after="0" w:line="1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Because the majority of our financial assets are short-term in nature, they are not significantly affected by inflation. However, the rate of inflation may affect our expenses, such as employee compensation and benefits, technology and communication expenses and occupancy costs, which may not be readily recoverable in the prices of our services. We believe any effects of inflation on our results of operations and financial condition have not been significant during any of the periods presented in this Quarterly Report on Form 10-Q. To the extent inflation, along with other factors, continues to result in elevated interest rates and has other adverse effects on the securities markets and the overall economy, it may adversely affect our results of operations and financial condition.</w:t>
      </w:r>
    </w:p>
    <w:p>
      <w:pPr>
        <w:spacing w:after="0" w:line="14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w:t>
      </w:r>
    </w:p>
    <w:p>
      <w:pPr>
        <w:spacing w:after="0" w:line="20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typically resulting in enforcement of new laws and regulations that apply to our business. The regulatory environment in the United States and abroad may be subject to future legislative and regulatory changes driven by current U.S. and global issues and priorities. Legislative and regulatory changes may include the promulgation of new or revised laws and regulations, or the adoption of changes in the interpretation of or the repeal of existing laws and regulations, or the abandonment of any pending legislative or regulatory proposals. The impact of any changes in the legal or regulatory landscape on us and our operations generally remains uncertain.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 Currently, we believe that uncertainty and potential delays around the final form of certain new rules and regulations may negatively impact our clients and trading volumes in certain markets in which we transact, although a relaxation of or the amendment of existing rules and requirements could potentially have a positive impact on certain markets.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Environment</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(vi) our ability to pursue strategic acquisitions and alliances and (vii)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Cybersecurity Environment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through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w:t>
      </w:r>
    </w:p>
    <w:p>
      <w:pPr>
        <w:spacing w:after="0" w:line="162"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Environment</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 Item 3. “Quantitative and Qualitative Disclosures About Market Risk — Foreign Currency and Derivative Risk”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has increased over time primarily due to Continuing LLC Owners redeeming or exchanging their LLC Interests for shares of Class A common stock or Class B common stock, as applicable, and our purchase of LLC Interests from Continuing LLC Owners. Furthermore, in connection with the IPO, we entered into the Tax Receivable Agreement pursuant to which we began to make payments in January 2021, and we expect future payments to be significant. We intend to continue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The IRA established a 15% corporate alternative minimum tax (“CAMT”) effective for taxable years beginning after December 31, 2022, and imposed a 1% excise tax on the repurchase after December 31, 2022 of stock by publicly traded U.S. corporations. The 1% excise tax did not have an impact on the Company’s condensed consolidated statements of financial condition, income and cash flows as of and for the three and nine months ended September 30, 2025 or 2024. The Company is subject to the current 15% CAMT, however, it did not have an impact on the Company’s effective tax rate for the three and nine months ended September 30, 2025 or 2024. The IRA also did not have an impact to our non-GAAP adjusted effective tax rate used for purposes of calculating our non-GAAP measure of Adjusted Net Income for the three and nine months ended September 30, 2025 or 2024.</w:t>
      </w:r>
    </w:p>
    <w:p>
      <w:pPr>
        <w:spacing w:after="0" w:line="16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Two Pillar Plan did not have an impact on the Company’s condensed consolidated statements of financial condition, income and cash flows as of and for the three and nine months ended September 30, 2025 or 2024. The Company continues to monitor developments related to the G7’s discussions on global tax reform and is awaiting legislative updates.</w:t>
      </w:r>
    </w:p>
    <w:p>
      <w:pPr>
        <w:spacing w:after="0" w:line="13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contains several changes to corporate taxation including modifications to capitalization of research and development expenses, limitations on deductions for interest expense and accelerated fixed asset depreciation. The OBBBA did not have a material impact on the Company’s condensed consolidated statements of financial condition, income and cash flows as of and for the three and nine months ended September 30, 2025. The Company will continue to evaluate the implications of this legislation on future periods.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is derived primarily from transaction fees, commissions, subscription fees and market data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Fees and Commissions</w:t>
      </w:r>
    </w:p>
    <w:p>
      <w:pPr>
        <w:spacing w:after="0" w:line="20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earn transaction fees and/or commissions from transactions executed on our trading platforms on both a variable and fixed price basis, which vary by geographic region, product type and trade size. For most of our products, clients pay both fixed minimum monthly transaction fees and variable transaction fees on a per transaction basis in excess of the monthly minimum. Clients may also pay a subscription fee in addition to or instead of the minimum monthly transaction fees. For other products, instead of a minimum monthly transaction fee, clients may pay a fixed transaction fee or only a variable transaction fee on a per transaction basis. We also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to-be-announced mortgage backed securities (“TBA-MBS”), U.S. Treasury and repurchase agreement transactions executed by our wholesale clients, we also generate revenue from fixed commissions that are generally invoiced monthly.</w:t>
      </w:r>
    </w:p>
    <w:p>
      <w:pPr>
        <w:spacing w:after="0" w:line="1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 variable transaction fees and commissions, we charge clients based on the mix of products traded and the volume of transactions executed. Transaction volume is determined by using a measure of the notional volume of the products traded, a count of the number of trades or, in the case of the ICD Portal, the client’s average daily balance (“ADB”) invested in the money market funds during a calendar month. Because transaction fees and commissions are sometimes subject to plans with tiered pricing based on product mix, volume, monthly minimums and monthly maximum fee caps, average variable fees per million dollars of volume traded generated for a client may vary each month depending on the mix of products and volume traded. Furthermore, because transaction fees and commissions vary by geographic region, product type and trade size, our revenues may not correlate with volume growth. The mix between fixed and variable revenue may change over time.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Fees</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earn subscription fees primarily for granting clients access to our markets for trading and market data. For a limited number of products, we only charge subscription fees and no transaction fees or commissions. Subscription fees are generally charged on a fixed price basis.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purposes of our discussion of our results of operations, we include LSEG market data fees in subscription fees. We earn fixed license fees from our market data license agreement with LSEG. We also earn a revenue share for certain data services which are provided to LSEG and then sold by LSEG to its customers. Our revenue share revenues may fluctuate from period to period depending on the revenue achieved by LSEG during the applicable fee earning period.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Included in our other revenue is revenue earned for performing Super Validator and Validator services on the Canton Network. For these services, we earn Canton Coins and the number of Canton Coins earned in a particular period is variable based on the Canton Network’s minting curve and burn-mint equilibrium and the amount of time that our nodes are active during any given minting cycle (occurring at regular 10 minute intervals throughout each day), in comparison to other network participants. The value of the validation revenue recognized is based on the fair value of each Canton Coin upon its receipt at the end of each minting cycle and therefore our revenue for performing these validations services will also vary based on any changes in the fair value of the Canton Coin.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Employee compensation and benefits expense consists of wages, employee benefits, bonuses, commissions, stock-based compensation cost and related taxes. Factors that influence employee compensation and benefits expense include revenue and earnings growth, hiring or acquiring new employees and trading activity which generates broker commissions. We expect employee compensation and benefits expense to increase as we hire or acquire additional employees to support revenue and earnings growth. As a result, employee compensation and benefits can vary from period to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0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of travel and entertainment, marketing, value-added taxes, state use taxes, foreign currency transaction gains and losses, gains and losses on foreign exchange derivative contracts entered into for foreign exchange risk management purposes relating to operating activities, charitable contributions, other administrative expenses and credit loss expense. We expect general and administrative expense to increase as we expand the number of our employees and product offerings and grow our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Communications</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LSEG. Factors that influence technology and communications expense include trading volumes and our investments in innovation, data strategy and cybersecurity.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Fees</w:t>
      </w:r>
    </w:p>
    <w:p>
      <w:pPr>
        <w:spacing w:after="0" w:line="20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Professional fees consist primarily of accounting, tax and legal fees and fees paid to technology and software consultants to maintain our trading platforms and infrastructure, as well as costs related to business acquisition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Occupancy</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Occupancy expense consists of operating lease rent and related costs for office space and data centers leased in North America, South America, Europe, Australia, Asia and the Middle East. We expect occupancy expense to increase as our space needs grow in line with our global expansion.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 Liability Adjustment</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tax receivable agreement liability adjustment reflects changes in the tax receivable agreement liability recorded in our condensed consolidated statements of financial condition as a result of changes in the mix of earnings, tax legislation and tax rates in various jurisdictions which impacted our estimated future tax savings.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0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Interest income consists primarily of interest earned from our cash deposited with large commercial banks and money market funds, as well as interest earned from our investments in available-for-sale debt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any interest expense incurred or payable on our tax receivable agreement liability, commitment fees payable on, and, if applicable, interest payable on any borrowings outstanding under our credit facility and amortization of deferred financing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income (loss), net consists of any income or loss earned from investments, any mark-to-market adjustments or impairments recorded on investments, any unrealized and realized gain/loss on foreign exchange derivative contracts entered into for foreign exchange risk management purposes relating to investing activities and any other non-operating items.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the sole manager of TWM LLC. As a result of this control, and because we have a substantial financial interest in TWM LLC, we consolidate the financial results of TWM LLC and report a non-controlling interest in our condensed consolidated financial statements, representing the economic interests of TWM LLC held by Continuing LLC Owners. Income or loss is attributed to the non-controlling interests based on the relative ownership percentages of LLC Interests held during the period by us and any Continuing LLC Owners.</w:t>
      </w:r>
    </w:p>
    <w:p>
      <w:pPr>
        <w:spacing w:after="0" w:line="15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As of September 30, 2025, we owned 90.2% of TWM LLC and Continuing LLC Owners owned the remaining 9.8% of TWM LLC.</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September 30, 2025 and September 30,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statements of income for the three months ended September 30,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508,598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448,915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298,227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210,371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D9D9D9"/>
            </w:tcBorders>
            <w:shd w:val="clear" w:color="auto" w:fill="CCEEFF"/>
          </w:tcPr>
          <w:p>
            <w:pPr>
              <w:spacing w:after="0"/>
              <w:rPr>
                <w:sz w:val="19"/>
                <w:szCs w:val="19"/>
                <w:color w:val="auto"/>
              </w:rPr>
            </w:pPr>
          </w:p>
        </w:tc>
        <w:tc>
          <w:tcPr>
            <w:tcW w:w="880" w:type="dxa"/>
            <w:vAlign w:val="bottom"/>
            <w:tcBorders>
              <w:bottom w:val="single" w:sz="8" w:color="D9D9D9"/>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5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3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185,636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113,916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71,720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for the three months ended September 30, 2025 and 2024, and the resulting dollar and percentage changes,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4"/>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3"/>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500" w:type="dxa"/>
            <w:vAlign w:val="bottom"/>
          </w:tcPr>
          <w:p>
            <w:pPr>
              <w:spacing w:after="0"/>
              <w:rPr>
                <w:sz w:val="13"/>
                <w:szCs w:val="13"/>
                <w:color w:val="auto"/>
              </w:rPr>
            </w:pPr>
          </w:p>
        </w:tc>
        <w:tc>
          <w:tcPr>
            <w:tcW w:w="72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 of Total</w:t>
            </w:r>
          </w:p>
        </w:tc>
        <w:tc>
          <w:tcPr>
            <w:tcW w:w="22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2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5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4"/>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421,309</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82.8 %</w:t>
            </w:r>
          </w:p>
        </w:tc>
        <w:tc>
          <w:tcPr>
            <w:tcW w:w="8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373,493</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83.2 %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47,816</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Subscription fees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81,364</w:t>
            </w:r>
          </w:p>
        </w:tc>
        <w:tc>
          <w:tcPr>
            <w:tcW w:w="154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71,718</w:t>
            </w:r>
          </w:p>
        </w:tc>
        <w:tc>
          <w:tcPr>
            <w:tcW w:w="154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5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5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508,598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448,915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total revenue growth:</w:t>
            </w: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Constant currency change </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3"/>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 growth</w:t>
            </w: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both the three months ended September 30, 2025 and 2024 include $20.5 million of LSEG market data fees.</w:t>
      </w:r>
    </w:p>
    <w:p>
      <w:pPr>
        <w:spacing w:after="0" w:line="27" w:lineRule="exact"/>
        <w:rPr>
          <w:rFonts w:ascii="Times New Roman" w:cs="Times New Roman" w:eastAsia="Times New Roman" w:hAnsi="Times New Roman"/>
          <w:sz w:val="14"/>
          <w:szCs w:val="14"/>
          <w:color w:val="auto"/>
        </w:rPr>
      </w:pPr>
    </w:p>
    <w:p>
      <w:pPr>
        <w:ind w:left="340" w:right="300" w:hanging="332"/>
        <w:spacing w:after="0" w:line="268"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strong results for the third quarter of 2025 reflected significant organic growth, strong client engagement and contributions from our acquisition of ICD on August 1, 2024. Our markets remained resilient despite depressed rate volatility. The primary driver of the $59.7 million increase in revenue was related to a $47.8 million increase in transaction fees and commissions to $421.3 million for the three months ended September 30, 2025 from $373.5 million for the three months ended September 30, 2024, primarily due to higher revenues for rates derivatives products. Additionally, there was a $9.6 million increase in subscription fees to $81.4 million for the three months ended September 30, 2025 from $71.7 million for the three months ended September 30, 2024, primarily due to certain market participants switching from fully variable pricing plans to pricing plans that include minimum fee floors or subscriptions, resulting in a shift of a portion of revenues from transaction fees and commissions to subscription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by asset class for the three months ended September 30, 2025 and 2024, and the resulting dollar and percentage changes,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274,497</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233,122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508,598</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asset class for the three months ended September 30, 2025 and 2024,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4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80" w:type="dxa"/>
            <w:vAlign w:val="bottom"/>
          </w:tcPr>
          <w:p>
            <w:pPr>
              <w:spacing w:after="0"/>
              <w:rPr>
                <w:sz w:val="16"/>
                <w:szCs w:val="16"/>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203,409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173,698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98.6 %</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132,827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338,979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109,936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significant percentage of our transaction fees and commissions are tied directly to overall trading volumes in the rates, credit, equities and money markets asset classes. The average daily volumes and total volumes on our trading platforms by asset class for the three months ended September 30, 2025 and 2024, and the resulting percentage changes, are summarized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ADV</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ADV</w:t>
            </w:r>
          </w:p>
        </w:tc>
        <w:tc>
          <w:tcPr>
            <w:tcW w:w="24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4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ADV</w:t>
            </w:r>
          </w:p>
        </w:tc>
        <w:tc>
          <w:tcPr>
            <w:tcW w:w="240" w:type="dxa"/>
            <w:vAlign w:val="bottom"/>
          </w:tcPr>
          <w:p>
            <w:pPr>
              <w:spacing w:after="0"/>
              <w:rPr>
                <w:sz w:val="16"/>
                <w:szCs w:val="16"/>
                <w:color w:val="auto"/>
              </w:rPr>
            </w:pPr>
          </w:p>
        </w:tc>
        <w:tc>
          <w:tcPr>
            <w:tcW w:w="11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1,455,555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93,809,148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1,298,137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83,743,234</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12.1 %</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Rates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34,306,862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31,860,817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59,502,286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51,882,416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Swaps / Swaptions Tenor (greater than 1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30,811,252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28,436,368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Rates Derivatives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28,691,034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23,446,048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2,720,174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2,754,477</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Credit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641,606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Derivatives, China Bonds and U.S. Cash EP</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1,998,558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2,112,872</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26,061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1,677,007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1,467,230</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Equities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665,127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Equities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802,103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Money Markets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1,051,611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74,615,475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939,622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59,556,275</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11.9 %</w:t>
            </w: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23"/>
                <w:szCs w:val="23"/>
                <w:b w:val="1"/>
                <w:bCs w:val="1"/>
                <w:color w:val="auto"/>
                <w:vertAlign w:val="superscript"/>
              </w:rPr>
              <w:t>(4)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2,575,251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172,821,805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2,303,164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147,521,215</w:t>
            </w: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excluding Other Rates Derivatives </w:t>
            </w:r>
            <w:r>
              <w:rPr>
                <w:rFonts w:ascii="Times New Roman" w:cs="Times New Roman" w:eastAsia="Times New Roman" w:hAnsi="Times New Roman"/>
                <w:sz w:val="23"/>
                <w:szCs w:val="23"/>
                <w:b w:val="1"/>
                <w:bCs w:val="1"/>
                <w:color w:val="auto"/>
                <w:vertAlign w:val="superscript"/>
              </w:rPr>
              <w:t>(3)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9.8 %</w:t>
            </w:r>
          </w:p>
        </w:tc>
        <w:tc>
          <w:tcPr>
            <w:tcW w:w="0" w:type="dxa"/>
            <w:vAlign w:val="bottom"/>
          </w:tcPr>
          <w:p>
            <w:pPr>
              <w:spacing w:after="0" w:line="20" w:lineRule="exact"/>
              <w:rPr>
                <w:sz w:val="1"/>
                <w:szCs w:val="1"/>
                <w:color w:val="auto"/>
              </w:rPr>
            </w:pPr>
          </w:p>
        </w:tc>
      </w:tr>
      <w:tr>
        <w:trPr>
          <w:trHeight w:val="272"/>
        </w:trPr>
        <w:tc>
          <w:tcPr>
            <w:tcW w:w="4080" w:type="dxa"/>
            <w:vAlign w:val="bottom"/>
            <w:vMerge w:val="continue"/>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2,131,099</w:t>
            </w:r>
          </w:p>
        </w:tc>
        <w:tc>
          <w:tcPr>
            <w:tcW w:w="8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144,130,771</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1,941,314</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124,075,167</w:t>
            </w:r>
          </w:p>
        </w:tc>
        <w:tc>
          <w:tcPr>
            <w:tcW w:w="156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Swaps/Swaptions of tenor less than 1 year and Rates Futures.</w:t>
      </w:r>
    </w:p>
    <w:p>
      <w:pPr>
        <w:spacing w:after="0" w:line="16" w:lineRule="exact"/>
        <w:rPr>
          <w:rFonts w:ascii="Times New Roman" w:cs="Times New Roman" w:eastAsia="Times New Roman" w:hAnsi="Times New Roman"/>
          <w:sz w:val="14"/>
          <w:szCs w:val="14"/>
          <w:color w:val="auto"/>
        </w:rPr>
      </w:pPr>
    </w:p>
    <w:p>
      <w:pPr>
        <w:ind w:left="340" w:right="220" w:hanging="332"/>
        <w:spacing w:after="0" w:line="261"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Credit” category represents the “Credit” asset class excluding (1) Credit Derivatives (2) China Bonds and (3) U.S. High Grade and High Yield electronically processed (“EP”) activity.</w:t>
      </w: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to contextualize the impact of short-tenored Swaps/Swaptions and Rates Futures on totals for all periods presented.</w:t>
      </w:r>
    </w:p>
    <w:p>
      <w:pPr>
        <w:spacing w:after="0" w:line="14" w:lineRule="exact"/>
        <w:rPr>
          <w:rFonts w:ascii="Times New Roman" w:cs="Times New Roman" w:eastAsia="Times New Roman" w:hAnsi="Times New Roman"/>
          <w:sz w:val="14"/>
          <w:szCs w:val="14"/>
          <w:color w:val="auto"/>
        </w:rPr>
      </w:pPr>
    </w:p>
    <w:p>
      <w:pPr>
        <w:ind w:left="340" w:right="40" w:hanging="332"/>
        <w:spacing w:after="0" w:line="263"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acquired ICD on August 1, 2024. Total volume reported includes volumes from the acquired business subsequent to the closing date of the acquisition. For average daily volume derived from acquisitions, the denominator is the number of trading days within the reporting period that have elapsed from the acquisition date to the end date of the reporting period.</w:t>
      </w:r>
    </w:p>
    <w:p>
      <w:pPr>
        <w:spacing w:after="0" w:line="2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average variable fees per million dollars of volume traded on our trading platforms by asset class for the three months ended September 30, 2025 and 2024 are summarized below. There are four potential drivers of quarterly fluctuations in our average variable fees per million: (1) the mix and duration of cash and derivatives products traded, (2) the mix of protocols underpinning cash and derivatives products, (3) volume discounts and (4) clients moving between fixed and variable pricing structures. Average variable fees per million should be reviewed in conjunction with our trading volumes and total revenue by asset class. Since variable fees are sometimes subject to fee plans with tiered pricing based on product mix and volume, average variable fees per million for a specific asset class may not correlate with volumes or revenue growth.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4.5 %</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Rates Cash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Rates Derivatives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Rates Derivatives (greater than 1 year)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Rates Derivatives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Credit </w:t>
            </w:r>
            <w:r>
              <w:rPr>
                <w:rFonts w:ascii="Times New Roman" w:cs="Times New Roman" w:eastAsia="Times New Roman" w:hAnsi="Times New Roman"/>
                <w:sz w:val="23"/>
                <w:szCs w:val="23"/>
                <w:color w:val="auto"/>
                <w:vertAlign w:val="superscript"/>
              </w:rPr>
              <w:t>(2)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128.48</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Derivatives, China Bonds and U.S. Cash EP</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Equities Cash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Equities Derivatives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Money Markets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(0.13)</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0" w:type="dxa"/>
            <w:vAlign w:val="bottom"/>
          </w:tcPr>
          <w:p>
            <w:pPr>
              <w:spacing w:after="0"/>
              <w:rPr>
                <w:sz w:val="1"/>
                <w:szCs w:val="1"/>
                <w:color w:val="auto"/>
              </w:rPr>
            </w:pPr>
          </w:p>
        </w:tc>
      </w:tr>
      <w:tr>
        <w:trPr>
          <w:trHeight w:val="312"/>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excluding Other Rates Derivatives </w:t>
            </w:r>
            <w:r>
              <w:rPr>
                <w:rFonts w:ascii="Times New Roman" w:cs="Times New Roman" w:eastAsia="Times New Roman" w:hAnsi="Times New Roman"/>
                <w:sz w:val="23"/>
                <w:szCs w:val="23"/>
                <w:b w:val="1"/>
                <w:bCs w:val="1"/>
                <w:color w:val="auto"/>
                <w:vertAlign w:val="superscript"/>
              </w:rPr>
              <w:t>(3)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8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1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Swaps/Swaptions of tenor less than 1 year and Rates Futures.</w:t>
      </w:r>
    </w:p>
    <w:p>
      <w:pPr>
        <w:spacing w:after="0" w:line="16" w:lineRule="exact"/>
        <w:rPr>
          <w:rFonts w:ascii="Times New Roman" w:cs="Times New Roman" w:eastAsia="Times New Roman" w:hAnsi="Times New Roman"/>
          <w:sz w:val="14"/>
          <w:szCs w:val="14"/>
          <w:color w:val="auto"/>
        </w:rPr>
      </w:pPr>
    </w:p>
    <w:p>
      <w:pPr>
        <w:ind w:left="340" w:right="220" w:hanging="332"/>
        <w:spacing w:after="0" w:line="254"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Credit” category represents the “Credit” asset class excluding (1) Credit Derivatives (2) China Bonds and (3) U.S. High Grade and High Yield electronically processed (“EP”) activity.</w:t>
      </w: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to contextualize the impact of short-tenored Swaps/Swaptions and Rates Futures on blended fees per million across all periods presented.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drivers of the change in total revenue, volumes and variable fees per million by asset class are summarized as follows:</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Revenues from our rates asset class increased by $41.4 million or 17.7% to $274.5 million for the three months ended September 30, 2025 compared to $233.1 million for the three months ended September 30, 2024 primarily due to higher variable transaction fees and commissions on higher trading volumes for rates derivatives products. The increase in fixed revenue was primarily driven by changes to certain contracts that, among other items, introduced minimum fee floors or subscription fees, resulting in a shift of a portion of revenues from variable to fixed revenue.</w:t>
      </w:r>
    </w:p>
    <w:p>
      <w:pPr>
        <w:spacing w:after="0" w:line="126"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Average variable fees per million for rates increased primarily due to a mix shift away from rates derivative compression activity, which has a lower variable fee capture compared to overall rates.</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Revenues from our credit asset class increased by $3.0 million or 2.6% to $121.3 million for the three months ended September 30, 2025 compared to $118.3 million for the three months ended September 30, 2024 primarily due to higher variable transaction fees and commissions on higher trading volumes for municipals. The increase in variable revenues for municipals was offset by a decline in variable revenues for U.S. corporate bonds, primarily driven by certain market participants switching from fully variable pricing plans to pricing plans that include minimum fee floors or subscription fees, resulting in a shift of a portion of revenues from variable to fixed revenue.</w:t>
      </w:r>
    </w:p>
    <w:p>
      <w:pPr>
        <w:spacing w:after="0" w:line="1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Average variable fees per million for credit decreased primarily due to certain market participants opting for pricing plans with more fixed fee components, resulting in a shift from variable to fixed revenue within U.S. corporate bonds.</w:t>
      </w:r>
    </w:p>
    <w:p>
      <w:pPr>
        <w:spacing w:after="0" w:line="13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u w:val="single" w:color="auto"/>
          <w:color w:val="auto"/>
        </w:rPr>
        <w:t>Equities</w:t>
      </w:r>
      <w:r>
        <w:rPr>
          <w:rFonts w:ascii="Times New Roman" w:cs="Times New Roman" w:eastAsia="Times New Roman" w:hAnsi="Times New Roman"/>
          <w:sz w:val="18"/>
          <w:szCs w:val="18"/>
          <w:color w:val="auto"/>
        </w:rPr>
        <w:t>. Revenues from our equities asset class increased by $4.3 million or 16.9% to $29.8 million for the three months ended September 30, 2025 compared to $25.5 million for the three months ended September 30, 2024 primarily due to higher variable transaction fees and commissions on higher trading volumes for International and U.S. exchange traded funds (“ETFs”) and equity derivatives products.</w:t>
      </w:r>
    </w:p>
    <w:p>
      <w:pPr>
        <w:spacing w:after="0" w:line="13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Average variable fees per million for equities increased primarily due to a mix shift towards U.S. convertibles, which have a higher variable fee capture compared to overall equities.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u w:val="single" w:color="auto"/>
          <w:color w:val="auto"/>
        </w:rPr>
        <w:t>Money Markets</w:t>
      </w:r>
      <w:r>
        <w:rPr>
          <w:rFonts w:ascii="Times New Roman" w:cs="Times New Roman" w:eastAsia="Times New Roman" w:hAnsi="Times New Roman"/>
          <w:sz w:val="17"/>
          <w:szCs w:val="17"/>
          <w:color w:val="auto"/>
        </w:rPr>
        <w:t>. Revenues from our money markets asset class increased by $6.8 million or 18.7% to $42.9 million for the three months ended September 30, 2025 compared to $36.1 million for the three months ended September 30, 2024 primarily due to the three months of basis point commissions earned on the average daily balance of client money market fund investments made through the ICD Portal during the three months ended September 30, 2025 compared to two months during the three months ended September 30, 2024 for the period subsequent to the August 1, 2024 acquisition.</w:t>
      </w:r>
    </w:p>
    <w:p>
      <w:pPr>
        <w:spacing w:after="0" w:line="13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Average variable fees per million for money markets decreased primarily due to a mix shift away from certificates of deposit, which have a higher variable fee capture compared to overall money markets.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asset class increased by $1.1 million or 3.6% to $30.8 million for the three months ended September 30, 2025 compared to $29.8 million for the three months ended September 30, 2024 primarily due to increases in proprietary third party market data revenue.</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Revenues from our other asset class increased by $3.1 million or 51.6% to $9.2 million for the three months ended September 30, 2025 compared to $6.1 million for the three months ended September 30, 2024 primarily due to an increase in revenue earned for performing validation services on the Canton Network.</w:t>
      </w:r>
    </w:p>
    <w:p>
      <w:pPr>
        <w:spacing w:after="0" w:line="1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generate revenue from a diverse portfolio of client sectors. Our total revenue by client sector for the three months ended September 30, 2025 and 2024,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317,148</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266,681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30,817</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508,598</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Institutional</w:t>
      </w:r>
      <w:r>
        <w:rPr>
          <w:rFonts w:ascii="Times New Roman" w:cs="Times New Roman" w:eastAsia="Times New Roman" w:hAnsi="Times New Roman"/>
          <w:sz w:val="18"/>
          <w:szCs w:val="18"/>
          <w:color w:val="auto"/>
        </w:rPr>
        <w:t>. Revenues from our institutional client sector increased by $50.5 million or 18.9% to $317.1 million for the three months ended September 30, 2025 compared to $266.7 million for the three months ended September 30, 2024. The increase was derived primarily from higher revenues for rates derivatives products, mortgages, European government bonds, International ETFs, other government bonds and U.S. ETFs.</w:t>
      </w:r>
    </w:p>
    <w:p>
      <w:pPr>
        <w:spacing w:after="0" w:line="13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u w:val="single" w:color="auto"/>
          <w:color w:val="auto"/>
        </w:rPr>
        <w:t>Wholesale</w:t>
      </w:r>
      <w:r>
        <w:rPr>
          <w:rFonts w:ascii="Times New Roman" w:cs="Times New Roman" w:eastAsia="Times New Roman" w:hAnsi="Times New Roman"/>
          <w:sz w:val="18"/>
          <w:szCs w:val="18"/>
          <w:color w:val="auto"/>
        </w:rPr>
        <w:t>. Revenues from our wholesale client sector were relatively flat at $99.4 million for the three months ended September 30, 2025, a decrease of $0.1 million or 0.1% compared to $99.5 million for the three months ended September 30, 2024.</w:t>
      </w:r>
    </w:p>
    <w:p>
      <w:pPr>
        <w:spacing w:after="0" w:line="13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Retail</w:t>
      </w:r>
      <w:r>
        <w:rPr>
          <w:rFonts w:ascii="Times New Roman" w:cs="Times New Roman" w:eastAsia="Times New Roman" w:hAnsi="Times New Roman"/>
          <w:sz w:val="18"/>
          <w:szCs w:val="18"/>
          <w:color w:val="auto"/>
        </w:rPr>
        <w:t>. Revenues from our retail client sector increased by $2.3 million or 6.3% to $38.0 million for the three months ended September 30, 2025 compared to $35.8 million for the three months ended September 30, 2024. The increase was derived primarily from higher revenues for municipals, partially offset by lower revenues for U.S. corporate bonds.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Corporates.</w:t>
      </w:r>
      <w:r>
        <w:rPr>
          <w:rFonts w:ascii="Times New Roman" w:cs="Times New Roman" w:eastAsia="Times New Roman" w:hAnsi="Times New Roman"/>
          <w:sz w:val="18"/>
          <w:szCs w:val="18"/>
          <w:color w:val="auto"/>
        </w:rPr>
        <w:t xml:space="preserve"> Revenues from our corporates client sector increased by $6.1 million or 35.2% to $23.2 million for the three months ended September 30, 2025 compared to $17.2 million for the three months ended September 30, 2024. With the August 1, 2024 acquisition of ICD and its proprietary institutional investment technology, we entered the corporates client sector. This client channel primarily serves corporate treasury organizations worldwide in investing in money market funds. The primary driver of the increase was the three months of basis point commissions earned on the average daily balance of client money market fund investments made through the ICD Portal during the three months ended September 30, 2025 compared to two months during the three months ended September 30, 2024 for the period subsequent to the August 1, 2024 acquisition.</w:t>
      </w:r>
    </w:p>
    <w:p>
      <w:pPr>
        <w:spacing w:after="0" w:line="14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client sector increased by $1.1 million or 3.6% to $30.8 million for the three months ended September 30, 2025 compared to $29.8 million for the three months ended September 30, 2024 primarily due to increases in proprietary third party market data revenue.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and client base are also diversified by geography. Our total revenue by geography (based on client location)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 and the resulting dollar and percentage changes,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297,435</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279,705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211,163</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508,598</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Revenues from U.S. clients increased by $17.7 million or 6.3% to $297.4 million for the three months ended September 30, 2025 compared to $279.7 million for the three months ended September 30, 2024 primarily due to higher revenues for rates derivatives products and municipals.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Revenues from international clients increased by $42.0 million or 24.8% to $211.2 million for the three months ended September 30, 2025 compared to $169.2 million for the three months ended September 30, 2024 primarily due to higher revenues for rates derivatives products, European government and corporate bonds and money markets, including the contribution from the ICD Acquisition.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for the three months ended September 30, 2025 and 2024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8"/>
              </w:rPr>
              <w:t>4,832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8"/>
              </w:rPr>
              <w:t>6,479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8"/>
              </w:rPr>
              <w:t>9,567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(3,525)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8"/>
              </w:rPr>
              <w:t>(9,951)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w w:val="98"/>
              </w:rPr>
              <w:t>1,226</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8"/>
              </w:rPr>
              <w:t>8,628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Employee Compensation and Benefits</w:t>
      </w:r>
      <w:r>
        <w:rPr>
          <w:rFonts w:ascii="Times New Roman" w:cs="Times New Roman" w:eastAsia="Times New Roman" w:hAnsi="Times New Roman"/>
          <w:sz w:val="18"/>
          <w:szCs w:val="18"/>
          <w:color w:val="auto"/>
        </w:rPr>
        <w:t>. Expenses related to employee compensation and benefits increased by $4.8 million or 3.0% to $165.0 million for the three months ended September 30, 2025 compared to $160.2 million for the three months ended September 30, 2024. The increase was primarily due to an increase in headcount and related salaries, benefits and stock-based compensation associated with our continued growth. As of September 30, 2025, December 31, 2024 and September 30, 2024, we had 1,566, 1,412 and 1,400 employees globally, respectively. The increase was partially offset by a decrease in compensation expense as the three months ended September 30, 2024 included $2.4 million in accelerated stock-based compensation expense associated with our former President and $1.4 million in compensation expense relating to acceleration, as of the ICD Acquisition closing date, of unvested stock-based compensation awards previously issued by the ICD seller.</w:t>
      </w:r>
    </w:p>
    <w:p>
      <w:pPr>
        <w:spacing w:after="0" w:line="1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Expenses related to depreciation and amortization increased by $6.5 million or 11.2% to $64.4 million for the three months ended September 30, 2025 compared to $57.9 million for the three months ended September 30, 2024. The increase was primarily due to increases in amortization of assets acquired in connection with the ICD Acquisition on August 1, 2024 and increases in amortization of software development costs and hardware driven by increases in investment in our infrastructure.</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Technology and Communications</w:t>
      </w:r>
      <w:r>
        <w:rPr>
          <w:rFonts w:ascii="Times New Roman" w:cs="Times New Roman" w:eastAsia="Times New Roman" w:hAnsi="Times New Roman"/>
          <w:sz w:val="18"/>
          <w:szCs w:val="18"/>
          <w:color w:val="auto"/>
        </w:rPr>
        <w:t>. Expenses related to technology and communications increased by $9.6 million or 39.4% to $33.9 million for the three months ended September 30, 2025 compared to $24.3 million for the three months ended September 30, 2024. The increase was primarily due to increased investment in our data strategy and infrastructure and increased clearance and data fees driven primarily by higher trading volumes period-over-period.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Expenses related to general and administrative costs decreased by $3.5 million or 17.3% to $16.9 million for the three months ended September 30, 2025 compared to $20.4 million for the three months ended September 30, 2024. The decrease was primarily due to a $4.4 million decrease in foreign exchange losses during the three months ended September 30, 2025 compared to the prior year period. Realized and unrealized foreign currency gains totaled $0.3 million during the three months ended September 30, 2025 as compared to $4.1 million in losses during the three months ended September 30, 2024. The change was primarily driven by a decrease in foreign currency re-measurement losses on transactions in nonfunctional currencies and the change in fair value of our foreign currency forward contracts used in connection with our foreign currency risk management program.</w:t>
      </w:r>
    </w:p>
    <w:p>
      <w:pPr>
        <w:spacing w:after="0" w:line="160" w:lineRule="exact"/>
        <w:rPr>
          <w:sz w:val="20"/>
          <w:szCs w:val="20"/>
          <w:color w:val="auto"/>
        </w:rPr>
      </w:pPr>
    </w:p>
    <w:p>
      <w:pPr>
        <w:jc w:val="both"/>
        <w:ind w:right="260"/>
        <w:spacing w:after="0" w:line="312" w:lineRule="auto"/>
        <w:rPr>
          <w:sz w:val="20"/>
          <w:szCs w:val="20"/>
          <w:color w:val="auto"/>
        </w:rPr>
      </w:pPr>
      <w:r>
        <w:rPr>
          <w:rFonts w:ascii="Times New Roman" w:cs="Times New Roman" w:eastAsia="Times New Roman" w:hAnsi="Times New Roman"/>
          <w:sz w:val="17"/>
          <w:szCs w:val="17"/>
          <w:u w:val="single" w:color="auto"/>
          <w:color w:val="auto"/>
        </w:rPr>
        <w:t>Professional Fees</w:t>
      </w:r>
      <w:r>
        <w:rPr>
          <w:rFonts w:ascii="Times New Roman" w:cs="Times New Roman" w:eastAsia="Times New Roman" w:hAnsi="Times New Roman"/>
          <w:sz w:val="17"/>
          <w:szCs w:val="17"/>
          <w:color w:val="auto"/>
        </w:rPr>
        <w:t>. Expenses related to professional fees decreased by $10.0 million or 46.4% to $11.5 million for the three months ended September 30, 2025 compared to $21.4 million for the three months ended September 30, 2024, primarily due to a decrease in professional fees related to acquisitions.</w:t>
      </w:r>
    </w:p>
    <w:p>
      <w:pPr>
        <w:spacing w:after="0" w:line="9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Occupancy</w:t>
      </w:r>
      <w:r>
        <w:rPr>
          <w:rFonts w:ascii="Times New Roman" w:cs="Times New Roman" w:eastAsia="Times New Roman" w:hAnsi="Times New Roman"/>
          <w:sz w:val="18"/>
          <w:szCs w:val="18"/>
          <w:color w:val="auto"/>
        </w:rPr>
        <w:t>. Expenses related to occupancy costs increased by $1.2 million or 22.6% to $6.6 million for the three months ended September 30, 2025 compared to $5.4 million for the three months ended September 30, 2024. The increase was primarily due to the commencement during the three months ended September 30, 2025 of the lease for our new corporate headquarters in New York City.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 Liability Adjustment</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tax receivable agreement liability adjustment of $0.9 million of expense recognized for the three months ended September 30, 2024 was due to changes in the tax receivable agreement liability recorded in our consolidated statements of financial condition as a result of changes in the mix of earnings in connection with the acquisition of ICD, which impacted our estimated future tax savings. There was no tax receivable agreement liability adjustment recognized for the three months ended September 30,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Interest income increased by $3.7 million or 22.1% to $20.3 million for the three months ended September 30, 2025 compared to $16.7 million for the three months ended September 30, 2024 primarily due to an increase in our average invested cash balance during the three months ended September 30, 2024 and interest earned on a federal income tax refund received during the three months ended September 30, 2025, partially offset by a decrease in the average interest rates earned period-over-period.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Interest expense decreased by $0.9 million or 63.9% to $0.5 million for the three months ended September 30, 2025 compared to $1.4 million for the three months ended September 30, 2024 primarily due to timing of payments made under the Tax Receivable Agreement. No interest expense was incurred on payments due under the Tax Receivable Agreement during the three months ended September 30, 2025 compared to $1.0 million of interest expense during the three months ended September 30,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20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Other income was $39.4 million for the three months ended September 30, 2025, primarily due to realized and unrealized gains on our Canton Coin holdings, which totaled $43.2 million during the three months ended September 30, 2025 compared to $10,000 in gains during the three months ended September 30, 2024. Other income was partially offset by a $3.8 million loss due to impairments of minority equity investments during the three months ended September 30,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Income tax expense increased by $15.6 million or 35.9% to $59.1 million for the three months ended September 30, 2025 compared to $43.5 million for the three months ended September 30, 2024. The provision for income taxes includes U.S. federal, state, local and foreign taxes. The effective tax rate for the three months ended September 30, 2025 was approximately 21.9%, compared with 25.0% for the three months ended September 30, 2024. The effective tax rate for the three months ended September 30, 2025 differed from the U.S. federal statutory rate of 21.0% primarily due to state, local and foreign taxes and the disallowance of compensation expense tax deductions, partially offset by the effect of non-controlling interests, the dividends received deduction and the Foreign-Derived Intangible Income (“FDII”) deduction. The effective tax rate for the three months ended September 30, 2024 differed from the U.S. federal statutory rate of 21.0% primarily due to state, local and foreign taxes and the disallowance of compensation expense tax deductions, partially offset by the effect of non-controlling interests and the FDII deduction.</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September 30, 2025 and September 30,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statements of income for the nine months ended September 30,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1,531,246</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1,262,605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268,641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916,921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773,117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143,804</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614,325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32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49,169</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56,306</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56,296</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718,262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174,106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(163,886)</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554,376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144,355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66,576</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487,800</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128,503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for the nine months ended September 30, 2025 and 2024, and the resulting dollar and percentage changes,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4"/>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3"/>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460" w:type="dxa"/>
            <w:vAlign w:val="bottom"/>
          </w:tcPr>
          <w:p>
            <w:pPr>
              <w:spacing w:after="0"/>
              <w:rPr>
                <w:sz w:val="13"/>
                <w:szCs w:val="13"/>
                <w:color w:val="auto"/>
              </w:rPr>
            </w:pPr>
          </w:p>
        </w:tc>
        <w:tc>
          <w:tcPr>
            <w:tcW w:w="7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22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2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4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4"/>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1,272,421</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83.1 %</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1,039,419</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82.3 %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233,002</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Subscription fees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244,027</w:t>
            </w:r>
          </w:p>
        </w:tc>
        <w:tc>
          <w:tcPr>
            <w:tcW w:w="154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213,226</w:t>
            </w:r>
          </w:p>
        </w:tc>
        <w:tc>
          <w:tcPr>
            <w:tcW w:w="1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15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1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1,531,246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1,262,605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total revenue growth:</w:t>
            </w: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Constant currency change </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 growth</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the nine months ended September 30, 2025 and 2024 include $70.0 million and $61.6 million, respectively, of LSEG market data fees.</w:t>
      </w:r>
    </w:p>
    <w:p>
      <w:pPr>
        <w:spacing w:after="0" w:line="27" w:lineRule="exact"/>
        <w:rPr>
          <w:rFonts w:ascii="Times New Roman" w:cs="Times New Roman" w:eastAsia="Times New Roman" w:hAnsi="Times New Roman"/>
          <w:sz w:val="14"/>
          <w:szCs w:val="14"/>
          <w:color w:val="auto"/>
        </w:rPr>
      </w:pPr>
    </w:p>
    <w:p>
      <w:pPr>
        <w:ind w:left="340" w:right="300" w:hanging="332"/>
        <w:spacing w:after="0" w:line="262"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primary driver of the $268.6 million increase in revenue related to a $233.0 million increase in transaction fees and commissions to $1.3 billion for the nine months ended September 30, 2025 from $1.0 billion for the nine months ended September 30, 2024, primarily due to higher revenues for rates derivatives products, municipals, U.S. government bonds, International and U.S. ETFs, repurchase agreements and credit derivatives products, as well as nine months of basis point commissions earned on the average daily balance of client money market fund investments made through the ICD Portal during the nine months ended September 30, 2025 compared to two months during the nine months ended September 30, 2024 for the period subsequent to the August 1, 2024 acquisition.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by asset class for the nine months ended September 30, 2025 and 2024, and the resulting dollar and percentage changes,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814,446</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664,746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369,629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99,941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23,502</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1,531,246</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1,262,605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268,641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asset class for the nine months ended September 30, 2025 and 2024,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1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4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80" w:type="dxa"/>
            <w:vAlign w:val="bottom"/>
          </w:tcPr>
          <w:p>
            <w:pPr>
              <w:spacing w:after="0"/>
              <w:rPr>
                <w:sz w:val="16"/>
                <w:szCs w:val="16"/>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37"/>
        </w:trPr>
        <w:tc>
          <w:tcPr>
            <w:tcW w:w="21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605,509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485,031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120,478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1,138,643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392,603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932,923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329,682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62,921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drivers of the change in total revenue by asset class are summarized as follows:</w:t>
      </w:r>
    </w:p>
    <w:p>
      <w:pPr>
        <w:spacing w:after="0" w:line="19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Revenues from our rates asset class increased by $149.7 million or 22.5% to $814.4 million for the nine months ended September 30, 2025 compared to $664.7 million for the nine months ended September 30, 2024 primarily due to higher variable transaction fees and commissions on higher trading volumes for rates derivatives products and U.S. government bonds. The increase in fixed revenue was primarily driven by changes to certain contracts that, among other items, introduced minimum fee floors or subscription fees, resulting in a shift of a portion of revenues from variable to fixed revenue.</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Revenues from our credit asset class increased by $24.2 million or 7.0% to $369.6 million for the nine months ended September 30, 2025 compared to $345.5 million for the nine months ended September 30, 2024 primarily due to an increase in fixed revenues, primarily driven by certain market participants switching from fully variable pricing plans to pricing plans that include minimum fee floors or subscription fees, resulting in a shift of a portion of revenues from variable to fixed revenue. Revenues from our credit asset class also increased due to higher variable transaction fees and commissions on higher trading volumes for municipals and credit derivatives products.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u w:val="single" w:color="auto"/>
          <w:color w:val="auto"/>
        </w:rPr>
        <w:t>Equities</w:t>
      </w:r>
      <w:r>
        <w:rPr>
          <w:rFonts w:ascii="Times New Roman" w:cs="Times New Roman" w:eastAsia="Times New Roman" w:hAnsi="Times New Roman"/>
          <w:sz w:val="18"/>
          <w:szCs w:val="18"/>
          <w:color w:val="auto"/>
        </w:rPr>
        <w:t>. Revenues from our equities asset class increased by $20.1 million or 26.6% to $95.5 million for the nine months ended September 30, 2025 compared to $75.4 million for the nine months ended September 30, 2024 primarily due to higher variable transaction fees and commissions on higher trading volumes for International and U.S. ETFs.</w:t>
      </w:r>
    </w:p>
    <w:p>
      <w:pPr>
        <w:spacing w:after="0" w:line="1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Money Markets</w:t>
      </w:r>
      <w:r>
        <w:rPr>
          <w:rFonts w:ascii="Times New Roman" w:cs="Times New Roman" w:eastAsia="Times New Roman" w:hAnsi="Times New Roman"/>
          <w:sz w:val="18"/>
          <w:szCs w:val="18"/>
          <w:color w:val="auto"/>
        </w:rPr>
        <w:t>. Revenues from our money markets asset class increased by $57.3 million or 80.7% to $128.2 million for the nine months ended September 30, 2025 compared to $71.0 million for the nine months ended September 30, 2024 primarily due to the nine months of basis point commissions earned on the average daily balance of client money market fund investments made through the ICD Portal during the nine months ended September 30, 2025 compared to two months during the nine months ended September 30, 2024 for the period subsequent to the August 1, 2024 acquisition.</w:t>
      </w:r>
    </w:p>
    <w:p>
      <w:pPr>
        <w:spacing w:after="0" w:line="13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asset class increased by $11.9 million or 13.6% to $99.9 million for the nine months ended September 30, 2025 compared to $88.0 million for the nine months ended September 30, 2024. The increase was primarily due to increased LSEG market data fees, with $8.4 million of the increase derived from the periodic delivery of historical data sets which occurred during the three months ended March 31, 2025, and other increases in proprietary third party market data revenue.</w:t>
      </w:r>
    </w:p>
    <w:p>
      <w:pPr>
        <w:spacing w:after="0" w:line="13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Revenues from our other asset class increased by $5.5 million or 30.7% to $23.5 million for the nine months ended September 30, 2025 compared to $18.0 million for the nine months ended September 30, 2024 primarily due to an increase in revenue earned for performing validation services on the Canton Network. The Company began providing services to the Canton Network during the third quarter of 2024.</w:t>
      </w:r>
    </w:p>
    <w:p>
      <w:pPr>
        <w:spacing w:after="0" w:line="1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generate revenue from a diverse portfolio of client sectors. Our total revenue by client sector for the nine months ended September 30, 2025 and 2024,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947,162</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759,599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187,563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302,894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1,531,246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1,262,605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268,641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Institutional</w:t>
      </w:r>
      <w:r>
        <w:rPr>
          <w:rFonts w:ascii="Times New Roman" w:cs="Times New Roman" w:eastAsia="Times New Roman" w:hAnsi="Times New Roman"/>
          <w:sz w:val="18"/>
          <w:szCs w:val="18"/>
          <w:color w:val="auto"/>
        </w:rPr>
        <w:t>. Revenues from our institutional client sector increased by $187.6 million or 24.7% to $947.2 million for the nine months ended September 30, 2025 compared to $759.6 million for the nine months ended September 30, 2024. The increase was derived primarily from higher revenues for rates derivatives products, International and U.S. ETFs, U.S. and European corporate bonds, U.S. and European government bonds, mortgages and credit derivative products.</w:t>
      </w:r>
    </w:p>
    <w:p>
      <w:pPr>
        <w:spacing w:after="0" w:line="13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Wholesale</w:t>
      </w:r>
      <w:r>
        <w:rPr>
          <w:rFonts w:ascii="Times New Roman" w:cs="Times New Roman" w:eastAsia="Times New Roman" w:hAnsi="Times New Roman"/>
          <w:sz w:val="18"/>
          <w:szCs w:val="18"/>
          <w:color w:val="auto"/>
        </w:rPr>
        <w:t>. Revenues from our wholesale client sector increased by $11.9 million or 4.1% to $302.9 million for the nine months ended September 30, 2025 compared to $291.0 million for the nine months ended September 30, 2024. The increase was derived primarily from higher revenues for U.S. government bonds.</w:t>
      </w:r>
    </w:p>
    <w:p>
      <w:pPr>
        <w:spacing w:after="0" w:line="14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Retail</w:t>
      </w:r>
      <w:r>
        <w:rPr>
          <w:rFonts w:ascii="Times New Roman" w:cs="Times New Roman" w:eastAsia="Times New Roman" w:hAnsi="Times New Roman"/>
          <w:sz w:val="18"/>
          <w:szCs w:val="18"/>
          <w:color w:val="auto"/>
        </w:rPr>
        <w:t>. Revenues from our retail client sector increased by $4.7 million or 4.4% to $111.5 million for the nine months ended September 30, 2025 compared to $106.8 million for the nine months ended September 30, 2024. The increase was derived primarily from higher revenues for municipals, partially offset by lower revenues for U.S. corporate bonds.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Corporates.</w:t>
      </w:r>
      <w:r>
        <w:rPr>
          <w:rFonts w:ascii="Times New Roman" w:cs="Times New Roman" w:eastAsia="Times New Roman" w:hAnsi="Times New Roman"/>
          <w:sz w:val="18"/>
          <w:szCs w:val="18"/>
          <w:color w:val="auto"/>
        </w:rPr>
        <w:t xml:space="preserve"> Revenues from our corporates client sector increased by $52.6 million or 305.7% to $69.7 million for the nine months ended September 30, 2025 compared to $17.2 million for the nine months ended September 30, 2024. With the August 1, 2024 acquisition of ICD and its proprietary institutional investment technology, we entered the corporates client sector. This client channel primarily serves corporate treasury organizations worldwide in investing in money market funds. The primary driver of the increase was nine months of basis point commissions earned on the average daily balance of client money market fund investments made through the ICD Portal during the nine months ended September 30, 2025 compared to two months during the nine months ended September 30, 2024 for the period subsequent to the August 1, 2024 acquisition.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client sector increased by $11.9 million or 13.6% to $99.9 million for the nine months ended September 30, 2025 compared to $88.0 million for the nine months ended September 30, 2024. The increase was primarily due to increased LSEG market data fees, with $8.4 million of the increase derived from the periodic delivery of historical data sets which occurred during the three months ended March 31, 2025, and other increases in proprietary third party market data revenue.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and client base are also diversified by geography. Our total revenue by geography (based on client location)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 and the resulting dollar and percentage changes,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893,119</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785,947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638,127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161,469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1,531,246</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1,262,605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268,641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Revenues from U.S. clients increased by $107.2 million or 13.6% to $893.1 million for the nine months ended September 30, 2025 compared to $785.9 million for the nine months ended September 30, 2024 primarily due to higher revenues for money markets, including the contribution from the ICD Acquisition, rates derivatives products, municipals, U.S. government bonds, mortgages and U.S. ETFs.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Revenues from international clients increased by $161.5 million or 33.9% to $638.1 million for the nine months ended September 30, 2025 compared to $476.7 million for the nine months ended September 30, 2024 primarily due to higher revenues for rates derivatives products, money markets, including the contribution from the ICD Acquisition, market data, International ETFs, European government bonds and credit derivative products.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for the nine months ended September 30, 2025 and 2024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143,804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u w:val="single" w:color="auto"/>
          <w:color w:val="auto"/>
        </w:rPr>
        <w:t>Employee Compensation and Benefits</w:t>
      </w:r>
      <w:r>
        <w:rPr>
          <w:rFonts w:ascii="Times New Roman" w:cs="Times New Roman" w:eastAsia="Times New Roman" w:hAnsi="Times New Roman"/>
          <w:sz w:val="18"/>
          <w:szCs w:val="18"/>
          <w:color w:val="auto"/>
        </w:rPr>
        <w:t>. Expenses related to employee compensation and benefits increased by $71.1 million or 16.1% to $511.6 million for the nine months ended September 30, 2025 compared to $440.5 million for the nine months ended September 30, 2024. The increase was primarily due to an increase in headcount and related salaries, bonus, benefits and stock-based compensation associated with our continued growth, including the August 1, 2024 ICD Acquisition, and an increase in incentive compensation expense tied to our financial performance.</w:t>
      </w:r>
    </w:p>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Expenses related to depreciation and amortization increased $33.0 million or 21.0% to $190.1 million for the nine months ended September 30, 2025 compared to $157.1 million for the nine months ended September 30, 2024. The increase was primarily due to increases in amortization of assets acquired in connection with the ICD Acquisition on August 1, 2024 and increases in amortization of software development costs and hardware driven by increases in investment in our infrastructure.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7"/>
          <w:szCs w:val="17"/>
          <w:u w:val="single" w:color="auto"/>
          <w:color w:val="auto"/>
        </w:rPr>
        <w:t>Technology and Communications</w:t>
      </w:r>
      <w:r>
        <w:rPr>
          <w:rFonts w:ascii="Times New Roman" w:cs="Times New Roman" w:eastAsia="Times New Roman" w:hAnsi="Times New Roman"/>
          <w:sz w:val="17"/>
          <w:szCs w:val="17"/>
          <w:color w:val="auto"/>
        </w:rPr>
        <w:t>. Expenses related to technology and communications increased by $23.0 million or 32.9% to $92.8 million for the nine months ended September 30, 2025 compared to $69.8 million for the nine months ended September 30, 2024. The increase was primarily due to increased investment in our data strategy and infrastructure and increased clearance and data fees driven primarily by higher trading volumes period-over-period.</w:t>
      </w:r>
    </w:p>
    <w:p>
      <w:pPr>
        <w:spacing w:after="0" w:line="1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Expenses related to general and administrative costs increased by $22.6 million or 51.3% to $66.6 million for the nine months ended September 30, 2025 compared to $44.0 million for the nine months ended September 30, 2024. The increase was primarily due to a $18.8 million increase in foreign exchange losses during the nine months ended September 30, 2025 compared to the prior year period. Realized and unrealized foreign currency losses totaled $17.9 million during the nine months ended September 30, 2025 as compared to $0.9 million in gains during the nine months ended September 30, 2024. The change was primarily driven by the change in fair value of our foreign currency forward contracts used in connection with our foreign currency risk management program, partially offset by an increase in foreign currency re-measurement gains on transactions in nonfunctional currencies. Increases in travel and entertainment costs to support our continued growth also contributed to the overall increase in general and administrative expenses.</w:t>
      </w:r>
    </w:p>
    <w:p>
      <w:pPr>
        <w:spacing w:after="0" w:line="151" w:lineRule="exact"/>
        <w:rPr>
          <w:sz w:val="20"/>
          <w:szCs w:val="20"/>
          <w:color w:val="auto"/>
        </w:rPr>
      </w:pPr>
    </w:p>
    <w:p>
      <w:pPr>
        <w:jc w:val="both"/>
        <w:ind w:right="340"/>
        <w:spacing w:after="0" w:line="312" w:lineRule="auto"/>
        <w:rPr>
          <w:sz w:val="20"/>
          <w:szCs w:val="20"/>
          <w:color w:val="auto"/>
        </w:rPr>
      </w:pPr>
      <w:r>
        <w:rPr>
          <w:rFonts w:ascii="Times New Roman" w:cs="Times New Roman" w:eastAsia="Times New Roman" w:hAnsi="Times New Roman"/>
          <w:sz w:val="17"/>
          <w:szCs w:val="17"/>
          <w:u w:val="single" w:color="auto"/>
          <w:color w:val="auto"/>
        </w:rPr>
        <w:t>Professional Fees</w:t>
      </w:r>
      <w:r>
        <w:rPr>
          <w:rFonts w:ascii="Times New Roman" w:cs="Times New Roman" w:eastAsia="Times New Roman" w:hAnsi="Times New Roman"/>
          <w:sz w:val="17"/>
          <w:szCs w:val="17"/>
          <w:color w:val="auto"/>
        </w:rPr>
        <w:t>. Expenses related to professional fees decreased by $8.5 million or 18.2% to $38.1 million for the nine months ended September 30, 2025 compared to $46.6 million for the nine months ended September 30, 2024, primarily due to a decrease in professional fees related to acquisitions.</w:t>
      </w:r>
    </w:p>
    <w:p>
      <w:pPr>
        <w:spacing w:after="0" w:line="9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u w:val="single" w:color="auto"/>
          <w:color w:val="auto"/>
        </w:rPr>
        <w:t>Occupancy</w:t>
      </w:r>
      <w:r>
        <w:rPr>
          <w:rFonts w:ascii="Times New Roman" w:cs="Times New Roman" w:eastAsia="Times New Roman" w:hAnsi="Times New Roman"/>
          <w:sz w:val="18"/>
          <w:szCs w:val="18"/>
          <w:color w:val="auto"/>
        </w:rPr>
        <w:t>. Expenses related to occupancy costs increased by $2.7 million or 17.7% to $17.7 million for the nine months ended September 30, 2025 compared to $15.1 million for the nine months ended September 30, 2024. The increase was primarily due to higher office and data center rent expense associated with our global expansion including the commencement during the three months ended September 30, 2025 of the lease for our new corporate headquarters in New York City.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 Liability Adjustment</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tax receivable agreement liability adjustment of $0.9 million of expense recognized for the nine months ended September 30, 2024 was due to changes in the tax receivable agreement liability recorded in our consolidated statements of financial condition as a result of changes in the mix of earnings in connection with the acquisition of ICD, which impacted our estimated future tax savings. There was no tax receivable agreement liability adjustment recognized for the nine months ended September 30,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Interest income decreased by $10.1 million or 17.0% to $49.2 million for the nine months ended September 30, 2025 compared to $59.2 million for the nine months ended September 30, 2024 primarily due to a decrease in the average interest rates earned period-over-period and a decrease in our average invested cash balance as a result of the cash paid in connection with the August 1, 2024 ICD Acquisition. These decreases were partially offset by interest earned on a federal income tax refund received during the nine months ended September 30,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Interest expense decreased by $2.1 million or 58.5% to $1.5 million for the nine months ended September 30, 2025 compared to $3.7 million for the nine months ended September 30, 2024 primarily due to timing of payments made under the Tax Receivable Agreement. No interest expense was incurred on payments due under the Tax Receivable Agreement during the nine months ended September 30, 2025 compared to $2.2 million of interest expense during the nine months ended September 30,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18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Other income was $56.3 million for the nine months ended September 30, 2025 primarily due to realized and unrealized gains on our Canton Coin holdings, which totaled $65.5 million during the nine months ended September 30, 2025 compared to $10,000 in gains during the nine months ended September 30, 2024. Other income was partially offset by a $9.2 million loss due to impairments of minority equity investments during the nine months ended September 30, 2025.</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Income tax expense increased by $29.8 million or 22.2% to $163.9 million for the nine months ended September 30, 2025 compared to $134.1 million for the nine months ended September 30, 2024. The provision for income taxes includes U.S. federal, state, local, and foreign taxes. The effective tax rate for the nine months ended September 30, 2025 was approximately 22.8%, compared with 24.7% for the nine months ended September 30, 2024. The effective tax rate for the nine months ended September 30, 2025 differed from the U.S. federal statutory rate of 21.0% primarily due to state, local and foreign taxes and the disallowance of compensation expense tax deductions, partially offset by the effect of non-controlling interests, dividends received deduction and the FDII deduction. The effective tax rate for the nine months ended September 30, 2024 differed from the U.S. federal statutory rate of 21.0% primarily due to state, local and foreign taxes and the disallowance of compensation expense tax deductions, partially offset by the effect of non-controlling interests and the FDII deduction.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While inflation may impact our revenues and operating expenses, we believe the effects of inflation, if any, on our results of operations and financial condition have not been significant during each of the three and nine months ended September 30, 2025 and 2024. However, there can be no assurance that our results of operations and financial condition will not be materially impacted by inflation in the future. See “— Trends and Other Factors Impacting Our Performance — Economic Environment” above.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2023 Revolving Credit Facility (as defined in “— Factors Influencing Our Liquidity and Capital Resources — Indebtedness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and their sufficiency to fund our operating and investing activities.</w:t>
      </w:r>
    </w:p>
    <w:p>
      <w:pPr>
        <w:spacing w:after="0" w:line="15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Historically, we have generated significant cash flows from operations and have funded our business operations through cash on hand and cash flows from operations.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2023 Revolving Credit Facility.</w:t>
      </w:r>
    </w:p>
    <w:p>
      <w:pPr>
        <w:spacing w:after="0" w:line="1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and, if necessary, borrowings under the 2023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we had cash and cash equivalents of approximately $1.9 billion and $1.3 billion, respectively. All cash and cash equivalents were held in accounts with financial institutions or money market funds such that the funds are immediately available or in fixed term deposits or investments with a maximum maturity of three months. See Item 3. “Quantitative and Qualitative Disclosures About Market Risk — Credit Risk.”</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Influencing Our 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Subject to legally available funds, we intend to pay quarterly cash dividends on our Class A common stock and Class B common stock equal to $0.12 per share. As discussed below, our ability to pay these quarterly cash dividends on our Class A common stock and Class B common stock will depend on distributions to us from TWM LLC.</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6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Dividends</w:t>
      </w:r>
    </w:p>
    <w:p>
      <w:pPr>
        <w:spacing w:after="0" w:line="18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October 30, 2025, the board of directors of Tradeweb Markets Inc. declared a cash dividend of $0.12 per share of Class A common stock and Class B common stock for the fourth quarter of 2025. This dividend will be payable on December 15, 2025 to stockholders of record as of December 1, 2025.</w:t>
      </w:r>
    </w:p>
    <w:p>
      <w:pPr>
        <w:spacing w:after="0" w:line="13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March, June, and September 2025, Tradeweb Markets Inc. paid quarterly cash dividends to holders of Class A common stock and Class B common stock in an aggregate amount totaling $76.8 million during the nine months ended September 30,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Distributions</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October 30, 2025, Tradeweb Markets Inc., as the sole manager, approved a distribution by TWM LLC to its equityholders, including Tradeweb Markets Inc., in an aggregate amount of $108.1 million, as adjusted by required state and local tax withholdings that will be determined prior to the record date of December 1, 2025, payable on December 11, 2025.</w:t>
      </w:r>
    </w:p>
    <w:p>
      <w:pPr>
        <w:spacing w:after="0" w:line="14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March, June, and September 2025, TWM LLC made quarterly cash distributions to its equityholders in an aggregate amount of $144.9 million during the nine months ended September 30, 2025, including distributions to Tradeweb Markets Inc. of $130.8 million and distributions to non-controlling interests of $14.2 million. The proceeds of the cash distributions were used by Tradeweb Markets Inc. to fund dividend payments, taxes and expenses.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w:t>
      </w:r>
    </w:p>
    <w:p>
      <w:pPr>
        <w:spacing w:after="0" w:line="19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December 5, 2022, the board of directors authorized a new share repurchase program (the “2022 Share Repurchase Program”), after completing in October 2022, the $150.0 million of total repurchases of the Company’s Class A common stock authorized under its previous share repurchase program. The 2022 Share Repurchase Program was authorized to continue to offset annual dilution from stock-based compensation plans, as well as to opportunistically repurchase our Class A common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 10b-18 or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our Class A common stock and other factors. The 2022 Share Repurchase Program does not require the Company to acquire a specific number of shares and may be suspended, amended or discontinued at any time. During the nine months ended September 30, 2025, the Company did not repurchase any shares pursuant to the 2022 Share Repurchase Program. As of September 30, 2025, a total of $179.9 million remained available for repurchase pursuant to the 2022 Share Repurchase Program.</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Share Repurchases</w:t>
      </w:r>
    </w:p>
    <w:p>
      <w:pPr>
        <w:spacing w:after="0" w:line="18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In addition to the share repurchase programs discussed above, we may also withhold shares to cover the payroll tax withholding obligations upon the exercise of stock options and vesting of performance-based restricted stock units that vest based on the Company’s financial performance (“PRSUs”), restricted stock units (“RSUs”) and performance-based restricted stock units that vest based on market conditions (“PSUs”).</w:t>
      </w:r>
    </w:p>
    <w:p>
      <w:pPr>
        <w:spacing w:after="0" w:line="14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withheld 355,158 shares of common stock from employee stock option, PRSU and RSU awards, at an average price per share of $137.55 and an aggregate value of $48.9 million, based on the price of the Class A common stock on the date the relevant withholding occurred.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obligated to make payments under the Tax Receivable Agreement. See Note 7 – Tax Receivable Agreement to our condensed consolidated financial statements included elsewhere in this Quarterly Report on Form 10-Q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September 30, 2025, total amounts due to Continuing LLC Owners under the Tax Receivable Agreement were $351.4 million, substantially all due to be paid over 15 years following the purchase of LLC Interests from Continuing LLC Owners or redemption or exchanges by Continuing LLC Owners of LLC Interests. As of September 30, 2025, we expect to make tax receivable agreement liability payments of approximately $37.9 million within the next 12 months and approximately $313.5 million thereafter.</w:t>
      </w:r>
    </w:p>
    <w:p>
      <w:pPr>
        <w:spacing w:after="0" w:line="16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to these amounts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December 31, 2024, we had no outstanding indebtedness.</w:t>
      </w:r>
    </w:p>
    <w:p>
      <w:pPr>
        <w:spacing w:after="0" w:line="1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November 21, 2023, TWM LLC entered into a five year, $500.0 million unsecured revolving credit facility (the “2023 Revolving Credit Facility”) with a syndicate of banks, which replaced its $500.0 million secured credit facility entered into on April 8, 2019. Subject to the satisfaction of certain conditions, we will be able to increase the 2023 Revolving Credit Facility by $250.0 million with the consent of the lenders participating in the increase. The 2023 Revolving Credit Facility provides borrowing capacity to be used to fund ongoing working capital needs, letters of credit and for general corporate purposes, including potential future acquisitions and expansions. As of September 30, 2025, there were $0.5 million in letters of credit issued and no borrowings outstanding under the 2023 Revolving Credit Facility. The 2023 Revolving Credit Facility will mature on November 21, 2028.</w:t>
      </w:r>
    </w:p>
    <w:p>
      <w:pPr>
        <w:spacing w:after="0" w:line="14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credit agreement that governs the 2023 Revolving Credit Facility contains a number of covenants that, among other things and subject to certain exceptions, restrict the ability of (i) TWM LLC to merge or consolidate with other entities, (ii) the subsidiaries of TWM LLC to incur or guarantee indebtedness and (iii) TWM LLC and its subsidiaries to create or incur liens. As of September 30, 2025, we were in compliance with all the covenants set forth in the 2023 Revolving Credit Facility.</w:t>
      </w:r>
    </w:p>
    <w:p>
      <w:pPr>
        <w:spacing w:after="0" w:line="15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 Liquidity and Capital Resources – Factors Influencing Our Liquidity and Capital Resources – Indebtedness” in Part II of our 2023 Form 10-K for additional details regarding the terms, restrictions and covenants applicable to the 2023 Revolving Credit Facility.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Obligations</w:t>
      </w:r>
    </w:p>
    <w:p>
      <w:pPr>
        <w:spacing w:after="0" w:line="18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currently have operating leases for corporate offices and data centers with initial lease terms ranging from one to 16 years. Our operating lease obligations are primarily related to rental payments under lease agreements for office space in the United States and the United Kingdom through May 2041.</w:t>
      </w:r>
    </w:p>
    <w:p>
      <w:pPr>
        <w:spacing w:after="0" w:line="1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September 30, 2025, our operating lease liabilities totaled $135.6 million, with payments pursuant to these obligations due within the next 12 months and thereafter totaling $14.9 million and $177.9 million,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also requires continued investment in our technology for product innovation, proprietary technology architecture, operational reliability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cybersecurity. We expect total cash paid for capital expenditures and software development costs for fiscal year 2025 to be between $99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 million, compared to expenditures of $88.9 million in fiscal year 2024, with the midpoint of our 2025 capital expenditure guidance up 17% versus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 2024 primarily due to capitalized one-time spend associated with our New York City corporate headquarters relocation. Excluding the 2024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one-time spend, the mid-point growth is projected to be approximately 3% higher year over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we also had $5.0 million in unfunded capital commitments to our equity method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Cash and Liquidity Requirements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of our U.S. subsidiaries are registered as broker-dealers, SEFs, SBSEFs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 Conduct Authority in the UK, the Nederlandsche Bank in the Netherlands, the Japanese Financial Services Agency, the Japanese Securities Dealers Association and other foreign regulators, and must maintain financial resources, as defined in the applicable regulations, in excess of the applicable financial resources requirement. As of September 30, 2025 and December 31, 2024, each of our regulated subsidiaries had maintained sufficient net capital or financial resources to at least satisfy their minimum requirements, which in aggregate were $87.4 million and $83.0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 The Fixed Income Clearing Corporation (“FICC”) and some of our clearing brokers require us to post collateral on unsettled positions, included within deposits with clearing organizations in our condensed consolidated statements of financial condition. Collateral amounts are marked to market on a daily basis, requiring us to pay or receive margin amounts as part of the daily funds settlement. Margin call requirements can vary significantly across periods based on daily market changes and may represent a significant and unpredictable use of our liquidity.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self-clear U.S. Treasury trades executed by non-FICC members on our wholesale trading platform. The number of self-cleared trades that settle over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fed wire, instead of FICC clearing, may impact the number of U.S. Treasury failed settlement transactions. As of September 30, 2025, we recorded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$91.6 million receivable and a $79.7 million payable from/to brokers and dealers and clearing organizations related to failed settlement transactions and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self-funded the remaining $12.0 million difference between the fail to deliver and fail to receive. All of the above failed settlement transactions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were fully settled during October 2025. See below for further details regarding the changes to working capital as a result of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failed settlement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8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receivable and due from affiliates and other current assets. Current liabilities consist of, as applicable, securities sold under agreements to repurchase, payable to brokers and dealers and clearing organizations, accrued compensation, deferred revenue, payable and due to affiliates, accounts payable, accrued expenses and other liabilities, lease liabilities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working capital as of September 30, 2025 and December 31, 2024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0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37"/>
        </w:trPr>
        <w:tc>
          <w:tcPr>
            <w:tcW w:w="50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1,907,922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1,340,302</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from brokers and dealers and clearing organizations</w:t>
            </w:r>
          </w:p>
        </w:tc>
        <w:tc>
          <w:tcPr>
            <w:tcW w:w="3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67,805</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54,702</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222,268</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w:t>
            </w: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0" w:type="dxa"/>
            <w:vAlign w:val="bottom"/>
          </w:tcPr>
          <w:p>
            <w:pPr>
              <w:spacing w:after="0"/>
              <w:rPr>
                <w:sz w:val="1"/>
                <w:szCs w:val="1"/>
                <w:color w:val="auto"/>
              </w:rPr>
            </w:pPr>
          </w:p>
        </w:tc>
      </w:tr>
      <w:tr>
        <w:trPr>
          <w:trHeight w:val="27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other assets</w:t>
            </w:r>
          </w:p>
        </w:tc>
        <w:tc>
          <w:tcPr>
            <w:tcW w:w="33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73,330</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43,163</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2,410,616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1,737,334</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brokers and dealers and clearing organizations</w:t>
            </w:r>
          </w:p>
        </w:tc>
        <w:tc>
          <w:tcPr>
            <w:tcW w:w="3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67,816</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222,959</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30,800</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w:t>
            </w: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w:t>
            </w:r>
          </w:p>
        </w:tc>
        <w:tc>
          <w:tcPr>
            <w:tcW w:w="3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94,620</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3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33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3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577,988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432,902</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working capital</w:t>
            </w:r>
          </w:p>
        </w:tc>
        <w:tc>
          <w:tcPr>
            <w:tcW w:w="33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1,832,628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1,304,432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38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0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Assets</w:t>
      </w:r>
    </w:p>
    <w:p>
      <w:pPr>
        <w:spacing w:after="0" w:line="20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Current assets increased to $2.4 billion as of September 30, 2025 from $1.7 billion as of December 31, 2024 primarily due to an increase in cash and cash equivalents due to our operating performance and the timing of collections of accounts receivable. See “—</w:t>
      </w:r>
      <w:r>
        <w:rPr>
          <w:rFonts w:ascii="Times New Roman" w:cs="Times New Roman" w:eastAsia="Times New Roman" w:hAnsi="Times New Roman"/>
          <w:sz w:val="18"/>
          <w:szCs w:val="18"/>
          <w:i w:val="1"/>
          <w:iCs w:val="1"/>
          <w:color w:val="auto"/>
        </w:rPr>
        <w:t>Cash Flows”</w:t>
      </w:r>
      <w:r>
        <w:rPr>
          <w:rFonts w:ascii="Times New Roman" w:cs="Times New Roman" w:eastAsia="Times New Roman" w:hAnsi="Times New Roman"/>
          <w:sz w:val="18"/>
          <w:szCs w:val="18"/>
          <w:color w:val="auto"/>
        </w:rPr>
        <w:t xml:space="preserve"> below for further discussion of the change in cash and cash equivalents.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p>
      <w:pPr>
        <w:spacing w:after="0" w:line="18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Current liabilities increased to $578.0 million as of September 30, 2025 from $432.9 million as of December 31, 2024 primarily due to an increase in current income taxes payable and an increase in the current portion of our tax receivable agreement liability.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Other Cash and Liquidity Requirements</w:t>
      </w:r>
      <w:r>
        <w:rPr>
          <w:rFonts w:ascii="Times New Roman" w:cs="Times New Roman" w:eastAsia="Times New Roman" w:hAnsi="Times New Roman"/>
          <w:sz w:val="18"/>
          <w:szCs w:val="18"/>
          <w:color w:val="auto"/>
        </w:rPr>
        <w:t>” above for a discussion on how capital requirements can impact our working capital.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for the nine months ended September 30, 2025 and 2024 were as follows:</w:t>
      </w:r>
    </w:p>
    <w:p>
      <w:pPr>
        <w:spacing w:after="0" w:line="232"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42"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33655</wp:posOffset>
            </wp:positionV>
            <wp:extent cx="17741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5" w:lineRule="exact"/>
        <w:rPr>
          <w:sz w:val="20"/>
          <w:szCs w:val="20"/>
          <w:color w:val="auto"/>
        </w:rPr>
      </w:pPr>
    </w:p>
    <w:p>
      <w:pPr>
        <w:ind w:left="8980"/>
        <w:spacing w:after="0"/>
        <w:tabs>
          <w:tab w:leader="none" w:pos="104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33655</wp:posOffset>
            </wp:positionV>
            <wp:extent cx="17741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31" w:lineRule="exact"/>
        <w:rPr>
          <w:sz w:val="20"/>
          <w:szCs w:val="20"/>
          <w:color w:val="auto"/>
        </w:rPr>
      </w:pPr>
    </w:p>
    <w:p>
      <w:pPr>
        <w:ind w:left="20" w:right="2160"/>
        <w:spacing w:after="0" w:line="344" w:lineRule="auto"/>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6"/>
                <w:szCs w:val="16"/>
                <w:color w:val="auto"/>
              </w:rPr>
            </w:pPr>
          </w:p>
        </w:tc>
      </w:tr>
      <w:tr>
        <w:trPr>
          <w:trHeight w:val="302"/>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811,697</w:t>
            </w:r>
          </w:p>
        </w:tc>
        <w:tc>
          <w:tcPr>
            <w:tcW w:w="80" w:type="dxa"/>
            <w:vAlign w:val="bottom"/>
          </w:tcPr>
          <w:p>
            <w:pPr>
              <w:spacing w:after="0"/>
              <w:rPr>
                <w:sz w:val="24"/>
                <w:szCs w:val="24"/>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615,716</w:t>
            </w:r>
          </w:p>
        </w:tc>
      </w:tr>
      <w:tr>
        <w:trPr>
          <w:trHeight w:val="229"/>
        </w:trPr>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(922,903)</w:t>
            </w:r>
          </w:p>
        </w:tc>
      </w:tr>
      <w:tr>
        <w:trPr>
          <w:trHeight w:val="234"/>
        </w:trPr>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(162,212)</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(229,915)</w:t>
            </w:r>
          </w:p>
        </w:tc>
      </w:tr>
      <w:tr>
        <w:trPr>
          <w:trHeight w:val="270"/>
        </w:trPr>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8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567,620</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(532,734)</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primarily include depreciation and amortization, stock-based compensation expense and deferred taxes and other income and changes in working capital. Cash flows from operating activities can fluctuate significantly from period-to-period as working capital needs and the timing of payments for accrued compensation (primarily in the first quarter) and other items impact reported cash flows.</w:t>
      </w:r>
    </w:p>
    <w:p>
      <w:pPr>
        <w:spacing w:after="0" w:line="13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2025 was $811.7 million, an increase of $196.0 million over the nine months ended September 30, 2024, primarily driven by an increase in net income and net changes in working capital, partially offset by an increase in net cash used to self fund the clearing of payables to brokers and dealers and clearing organizations resulting from unsettled wholesale platform transactions.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software development costs, investments in technology hardware, purchases of equipment and other tangible assets, business acquisitions and investments.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$91.7 million for the nine months ended September 30, 2025, which consisted of $47.1 million of capitalized software development costs, $38.4 million of cash paid for investments and $21.1 million of purchases of furniture, equipment, purchased software and leasehold improvements, partially offset by $15.0 million in cash received from the sale of Canton Coins. Net cash used in investing activities was $922.9 million for the nine months ended September 30, 2024, which consisted of $860.4 million of total net cash paid for the acquisitions of ICD and r8fin (net of cash acquired), $35.2 million of capitalized software development costs, $15.7 million of purchases of furniture, equipment, purchased software and leasehold improvements and $11.6 million of cash paid for investments.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2025 was $162.2 million, and was primarily driven by $76.8 million in cash dividends to our Class A and Class B common stockholders, $49.0 million in payroll tax payments for PRSUs and RSUs, $21.4 million in payments due under our Tax Receivable Agreement and $14.2 million in distributions to non-controlling interest holders. Net cash used in financing activities for the nine months ended September 30, 2024 was $229.9 million, and was primarily driven by $77.0 million in payments due under our Tax Receivable Agreement, $63.9 million in cash dividends to our Class A and Class B common stockholders, $39.8 million in payroll tax payments for options, PRSUs and RSUs, net of proceeds from the related stock-based compensation option exercises, $24.8 million in distributions to non-controlling interest holders and $24.4 million in share repurchases pursuant to the 2022 Share Repurchase Program.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0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13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our cash flow from operating activities to Free Cash Flow for the nine months ended September 30,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3"/>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811,697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615,716</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Capitalization of software development costs</w:t>
            </w:r>
          </w:p>
        </w:tc>
        <w:tc>
          <w:tcPr>
            <w:tcW w:w="320" w:type="dxa"/>
            <w:vAlign w:val="bottom"/>
          </w:tcPr>
          <w:p>
            <w:pPr>
              <w:spacing w:after="0"/>
              <w:rPr>
                <w:sz w:val="19"/>
                <w:szCs w:val="19"/>
                <w:color w:val="auto"/>
              </w:rPr>
            </w:pPr>
          </w:p>
        </w:tc>
        <w:tc>
          <w:tcPr>
            <w:tcW w:w="1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(47,144)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(35,182)</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Purchases of furniture, equipment and 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(21,141)</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(15,729)</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743,412</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564,805</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EBITDA margin, Adjusted EBIT, Adjusted EBIT margin, Adjusted Net Income and Adjusted Diluted EPS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to net income, net income margin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Adjusted EBITDA margin, Adjusted EBIT and Adjusted EBIT margin</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before interest income, interest 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other income and loss.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Adjusted EBIT is defined as net income before interest income, interest expense and provision for income taxes, adjusted for the impact of certain other items, including merger and acquisition transaction and integration costs, certain stock-based compensation expense and related payroll taxes, tax receivable agreement liability adjustments, depreciation and amortization related to acquisitions and the Refinitiv Transaction, unrealized gains and losses from outstanding foreign currency forward contracts, gains and losses from the revaluation of foreign denominated cash and other income and loss.</w:t>
      </w:r>
    </w:p>
    <w:p>
      <w:pPr>
        <w:spacing w:after="0" w:line="15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Net income margin is defined as net income, divided by revenue for the applicable period. Adjusted EBITDA margin and Adjusted EBIT margin are defined as Adjusted EBITDA and Adjusted EBIT, respectively, divided by revenue for the applicable period.</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as defined in Note 2 – Significant Accounting Policies to our unaudited condensed consolidated financial statements included elsewhere in this Quarterly Report on Form 10-Q and post-IPO options awarded in 2019 to management and other employees as well as payroll taxes associated with exercises of such options during the applicable period. The value of all previously issued options was fully expensed as of March 31, 2024, however we will continue to incur payroll tax expense as previously issued options are exercised by the holders. For applicable periods, we also exclude the incremental non-cash accelerated stock-based compensation expense and related payroll taxes associated with former and/or departing executive officers. We also exclude stock-based compensation expense associated with special equity awards granted to help ensure the retention of key employees during the integration of acquisitions. We believe it is useful to exclude these stock-based compensation expenses and, as applicable, associated payroll taxes because the amount of expense may not directly correlate to the underlying performance of our business and will vary across periods.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condensed consolidated statements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merger and acquisition transaction and integration costs as the incremental direct costs related to completed and potential acquisitions and related integrations are not indicative of our core ongoing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4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Diluted EPS</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merger and acquisition transaction and integration costs, depreciation and amortization related to acquisitions and the Refinitiv Transaction, unrealized gains and losses from outstanding foreign currency forward contracts, gains and losses from the revaluation of foreign denominated cash and other income and loss.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We exclude certain stock-based compensation expense and related payroll taxes, tax receivable agreement liability adjustments, merger and acquisition transaction and integration costs and acquisition and Refinitiv Transaction-related depreciation and amortization for the reasons described above. Each of the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net income margin,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and net income margin to Adjusted EBITDA, Adjusted EBITDA margin, Adjusted EBIT and Adjusted EBIT margin for the three and nine months ended September 30,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5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210,549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130,223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554,376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410,021</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14,488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6,734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21,752</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(20,348)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(49,169)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(59,234)</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3,706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64,351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57,872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190,098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157,145</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5,395</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59,068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43,450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163,886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134,135</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17,579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2,097</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(39,420)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(56,306)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274,423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239,816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830,538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675,877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93"/>
              <w:spacing w:after="0" w:line="203" w:lineRule="exact"/>
              <w:rPr>
                <w:sz w:val="20"/>
                <w:szCs w:val="20"/>
                <w:color w:val="auto"/>
              </w:rPr>
            </w:pPr>
            <w:r>
              <w:rPr>
                <w:rFonts w:ascii="Times New Roman" w:cs="Times New Roman" w:eastAsia="Times New Roman" w:hAnsi="Times New Roman"/>
                <w:sz w:val="18"/>
                <w:szCs w:val="18"/>
                <w:color w:val="auto"/>
              </w:rPr>
              <w:t>(64,351)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92"/>
              <w:spacing w:after="0" w:line="203" w:lineRule="exact"/>
              <w:rPr>
                <w:sz w:val="20"/>
                <w:szCs w:val="20"/>
                <w:color w:val="auto"/>
              </w:rPr>
            </w:pPr>
            <w:r>
              <w:rPr>
                <w:rFonts w:ascii="Times New Roman" w:cs="Times New Roman" w:eastAsia="Times New Roman" w:hAnsi="Times New Roman"/>
                <w:sz w:val="18"/>
                <w:szCs w:val="18"/>
                <w:color w:val="auto"/>
              </w:rPr>
              <w:t>(57,872)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93"/>
              <w:spacing w:after="0" w:line="203" w:lineRule="exact"/>
              <w:rPr>
                <w:sz w:val="20"/>
                <w:szCs w:val="20"/>
                <w:color w:val="auto"/>
              </w:rPr>
            </w:pPr>
            <w:r>
              <w:rPr>
                <w:rFonts w:ascii="Times New Roman" w:cs="Times New Roman" w:eastAsia="Times New Roman" w:hAnsi="Times New Roman"/>
                <w:sz w:val="18"/>
                <w:szCs w:val="18"/>
                <w:color w:val="auto"/>
              </w:rPr>
              <w:t>(190,098)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91"/>
              <w:spacing w:after="0" w:line="203" w:lineRule="exact"/>
              <w:rPr>
                <w:sz w:val="20"/>
                <w:szCs w:val="20"/>
                <w:color w:val="auto"/>
              </w:rPr>
            </w:pPr>
            <w:r>
              <w:rPr>
                <w:rFonts w:ascii="Times New Roman" w:cs="Times New Roman" w:eastAsia="Times New Roman" w:hAnsi="Times New Roman"/>
                <w:sz w:val="18"/>
                <w:szCs w:val="18"/>
                <w:color w:val="auto"/>
              </w:rPr>
              <w:t>(157,145)</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Add: D&amp;A related to acquisitions and the Refinitiv Transaction </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45,474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41,949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136,421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111,031</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255,546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223,893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776,861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629,763</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360" w:hanging="332"/>
        <w:spacing w:after="0" w:line="271"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ind w:left="340" w:right="100" w:hanging="332"/>
        <w:spacing w:after="0" w:line="257"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During the three and nine months ended September 30, 2025 and 2024, this adjustment also includes $0.6 million, $1.8 million, $0.4 million and $0.4 million, respectively, of non-cash stock-based compensation expense and related payroll taxes associated with RSAs and RSUs issued to help retain key ICD employees during the integration of ICD. During the three and nine months ended September 30, 2024, this adjustment also includes $2.4 million and $2.7 million, respectively, of non-cash accelerated stock-based compensation expense and related payroll taxes associated with our former President.</w:t>
      </w:r>
    </w:p>
    <w:p>
      <w:pPr>
        <w:spacing w:after="0" w:line="2" w:lineRule="exact"/>
        <w:rPr>
          <w:rFonts w:ascii="Times New Roman" w:cs="Times New Roman" w:eastAsia="Times New Roman" w:hAnsi="Times New Roman"/>
          <w:sz w:val="14"/>
          <w:szCs w:val="14"/>
          <w:color w:val="auto"/>
        </w:rPr>
      </w:pPr>
    </w:p>
    <w:p>
      <w:pPr>
        <w:ind w:left="340" w:right="60" w:hanging="332"/>
        <w:spacing w:after="0" w:line="254"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00" w:hanging="332"/>
        <w:spacing w:after="0" w:line="259"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ind w:left="340" w:right="260" w:hanging="332"/>
        <w:spacing w:after="0" w:line="272"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37"/>
        </w:trPr>
        <w:tc>
          <w:tcPr>
            <w:tcW w:w="2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10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Currency Basis</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10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Currency Basis</w:t>
            </w:r>
          </w:p>
        </w:tc>
        <w:tc>
          <w:tcPr>
            <w:tcW w:w="0" w:type="dxa"/>
            <w:vAlign w:val="bottom"/>
          </w:tcPr>
          <w:p>
            <w:pPr>
              <w:spacing w:after="0"/>
              <w:rPr>
                <w:sz w:val="1"/>
                <w:szCs w:val="1"/>
                <w:color w:val="auto"/>
              </w:rPr>
            </w:pPr>
          </w:p>
        </w:tc>
      </w:tr>
      <w:tr>
        <w:trPr>
          <w:trHeight w:val="146"/>
        </w:trPr>
        <w:tc>
          <w:tcPr>
            <w:tcW w:w="2200" w:type="dxa"/>
            <w:vAlign w:val="bottom"/>
          </w:tcPr>
          <w:p>
            <w:pPr>
              <w:spacing w:after="0"/>
              <w:rPr>
                <w:sz w:val="12"/>
                <w:szCs w:val="12"/>
                <w:color w:val="auto"/>
              </w:rPr>
            </w:pPr>
          </w:p>
        </w:tc>
        <w:tc>
          <w:tcPr>
            <w:tcW w:w="108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10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Point Change</w:t>
            </w:r>
          </w:p>
        </w:tc>
        <w:tc>
          <w:tcPr>
            <w:tcW w:w="11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12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Point Change</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+54 bps</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 bps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+71 bps</w:t>
            </w:r>
          </w:p>
        </w:tc>
        <w:tc>
          <w:tcPr>
            <w:tcW w:w="1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+70 bps</w:t>
            </w:r>
          </w:p>
        </w:tc>
        <w:tc>
          <w:tcPr>
            <w:tcW w:w="0" w:type="dxa"/>
            <w:vAlign w:val="bottom"/>
          </w:tcPr>
          <w:p>
            <w:pPr>
              <w:spacing w:after="0"/>
              <w:rPr>
                <w:sz w:val="1"/>
                <w:szCs w:val="1"/>
                <w:color w:val="auto"/>
              </w:rPr>
            </w:pP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00" w:type="dxa"/>
            <w:vAlign w:val="bottom"/>
          </w:tcPr>
          <w:p>
            <w:pPr>
              <w:spacing w:after="0"/>
              <w:rPr>
                <w:sz w:val="20"/>
                <w:szCs w:val="20"/>
                <w:color w:val="auto"/>
              </w:rPr>
            </w:pPr>
          </w:p>
        </w:tc>
        <w:tc>
          <w:tcPr>
            <w:tcW w:w="1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+37 bps</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 bps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80" w:type="dxa"/>
            <w:vAlign w:val="bottom"/>
          </w:tcPr>
          <w:p>
            <w:pPr>
              <w:spacing w:after="0"/>
              <w:rPr>
                <w:sz w:val="20"/>
                <w:szCs w:val="20"/>
                <w:color w:val="auto"/>
              </w:rPr>
            </w:pP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+86 bps</w:t>
            </w: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+83 bps</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40" w:right="60" w:hanging="332"/>
        <w:spacing w:after="0" w:line="265"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changes in Adjusted EBITDA margin and Adjusted EBIT margin, both on a constant currency basis, are non-GAAP financial measures, and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attributable to Tradeweb Markets Inc. and net income, as applicable, to Adjusted Net Income and Adjusted Diluted EPS for the three and nine months ended September 30,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5"/>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185,636</w:t>
            </w:r>
          </w:p>
        </w:tc>
        <w:tc>
          <w:tcPr>
            <w:tcW w:w="5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113,916</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359,297</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income attributable to non-controlling interests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24,913</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66,576</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50,724</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410,021</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134,135</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21,752</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D&amp;A related to acquisitions and the Refinitiv Transaction </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136,421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111,031</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(6)</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(39,420)</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(56,306)</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before income taxes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685,291</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income taxes </w:t>
            </w:r>
            <w:r>
              <w:rPr>
                <w:rFonts w:ascii="Times New Roman" w:cs="Times New Roman" w:eastAsia="Times New Roman" w:hAnsi="Times New Roman"/>
                <w:sz w:val="23"/>
                <w:szCs w:val="23"/>
                <w:color w:val="auto"/>
                <w:vertAlign w:val="superscript"/>
              </w:rPr>
              <w:t>(7)</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(68,843)</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(206,123)</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(171,323)</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206,529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179,332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618,369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513,968</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Diluted EPS </w:t>
            </w:r>
            <w:r>
              <w:rPr>
                <w:rFonts w:ascii="Times New Roman" w:cs="Times New Roman" w:eastAsia="Times New Roman" w:hAnsi="Times New Roman"/>
                <w:sz w:val="23"/>
                <w:szCs w:val="23"/>
                <w:color w:val="auto"/>
                <w:vertAlign w:val="superscript"/>
              </w:rPr>
              <w:t>(8)</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right="60" w:hanging="332"/>
        <w:spacing w:after="0" w:line="271" w:lineRule="auto"/>
        <w:tabs>
          <w:tab w:leader="none" w:pos="33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reallocation of net income attributable to non-controlling interests from the assumed exchange of all outstanding LLC Interests held by non-controlling interests for shares of Class A or Class B common stock.</w:t>
      </w:r>
    </w:p>
    <w:p>
      <w:pPr>
        <w:ind w:left="340" w:right="360" w:hanging="332"/>
        <w:spacing w:after="0" w:line="261" w:lineRule="auto"/>
        <w:tabs>
          <w:tab w:leader="none" w:pos="33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ind w:left="340" w:right="260" w:hanging="332"/>
        <w:spacing w:after="0" w:line="254" w:lineRule="auto"/>
        <w:tabs>
          <w:tab w:leader="none" w:pos="33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Times New Roman" w:cs="Times New Roman" w:eastAsia="Times New Roman" w:hAnsi="Times New Roman"/>
          <w:sz w:val="14"/>
          <w:szCs w:val="14"/>
          <w:color w:val="auto"/>
        </w:rPr>
      </w:pPr>
    </w:p>
    <w:p>
      <w:pPr>
        <w:ind w:left="340" w:right="100" w:hanging="332"/>
        <w:spacing w:after="0" w:line="257" w:lineRule="auto"/>
        <w:tabs>
          <w:tab w:leader="none" w:pos="33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During the three and nine months ended September 30, 2025 and 2024, this adjustment also includes $0.6 million, $1.8 million, $0.4 million and $0.4 million, respectively, of non-cash stock-based compensation expense and related payroll taxes associated with RSAs and RSUs issued to help retain key ICD employees during the integration of ICD. During the three and nine months ended September 30, 2024, this adjustment also includes $2.4 million and $2.7 million, respectively, of non-cash accelerated stock-based compensation expense and related payroll taxes associated with our former President.</w:t>
      </w:r>
    </w:p>
    <w:p>
      <w:pPr>
        <w:spacing w:after="0" w:line="2" w:lineRule="exact"/>
        <w:rPr>
          <w:rFonts w:ascii="Times New Roman" w:cs="Times New Roman" w:eastAsia="Times New Roman" w:hAnsi="Times New Roman"/>
          <w:sz w:val="14"/>
          <w:szCs w:val="14"/>
          <w:color w:val="auto"/>
        </w:rPr>
      </w:pPr>
    </w:p>
    <w:p>
      <w:pPr>
        <w:ind w:left="340" w:right="60" w:hanging="332"/>
        <w:spacing w:after="0" w:line="254" w:lineRule="auto"/>
        <w:tabs>
          <w:tab w:leader="none" w:pos="33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00" w:hanging="332"/>
        <w:spacing w:after="0" w:line="259" w:lineRule="auto"/>
        <w:tabs>
          <w:tab w:leader="none" w:pos="33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ind w:left="340" w:right="20" w:hanging="332"/>
        <w:spacing w:after="0" w:line="261" w:lineRule="auto"/>
        <w:tabs>
          <w:tab w:leader="none" w:pos="33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corporate income taxes at an assumed effective tax rate of 25.0% applied to Adjusted Net Income before income taxes for each of the three and nine months ended September 30, 2025 and 2024.</w:t>
      </w:r>
    </w:p>
    <w:p>
      <w:pPr>
        <w:ind w:left="340" w:right="40" w:hanging="332"/>
        <w:spacing w:after="0" w:line="263" w:lineRule="auto"/>
        <w:tabs>
          <w:tab w:leader="none" w:pos="33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summary of the calculation of Adjusted Diluted EPS, see “Reconciliation of Diluted Weighted Average Shares Outstanding to Adjusted Diluted Weighted Average Shares Outstanding and Adjusted Diluted EPS” below.</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 of Adjusted Diluted EPS for the three and nine months ended September 30, 2025 and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56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16"/>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Diluted Weighted Average Shares Outstanding to Adjusted Diluted</w:t>
            </w:r>
          </w:p>
        </w:tc>
        <w:tc>
          <w:tcPr>
            <w:tcW w:w="240" w:type="dxa"/>
            <w:vAlign w:val="bottom"/>
          </w:tcPr>
          <w:p>
            <w:pPr>
              <w:spacing w:after="0"/>
              <w:rPr>
                <w:sz w:val="18"/>
                <w:szCs w:val="18"/>
                <w:color w:val="auto"/>
              </w:rPr>
            </w:pPr>
          </w:p>
        </w:tc>
        <w:tc>
          <w:tcPr>
            <w:tcW w:w="26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8"/>
                <w:szCs w:val="18"/>
                <w:color w:val="auto"/>
              </w:rPr>
            </w:pPr>
          </w:p>
        </w:tc>
        <w:tc>
          <w:tcPr>
            <w:tcW w:w="2560" w:type="dxa"/>
            <w:vAlign w:val="bottom"/>
            <w:gridSpan w:val="4"/>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556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 and Adjusted Diluted EPS</w:t>
            </w:r>
          </w:p>
        </w:tc>
        <w:tc>
          <w:tcPr>
            <w:tcW w:w="240" w:type="dxa"/>
            <w:vAlign w:val="bottom"/>
          </w:tcPr>
          <w:p>
            <w:pPr>
              <w:spacing w:after="0"/>
              <w:rPr>
                <w:sz w:val="16"/>
                <w:szCs w:val="16"/>
                <w:color w:val="auto"/>
              </w:rPr>
            </w:pPr>
          </w:p>
        </w:tc>
        <w:tc>
          <w:tcPr>
            <w:tcW w:w="11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5"/>
        </w:trPr>
        <w:tc>
          <w:tcPr>
            <w:tcW w:w="546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weighted average shares of Class A and Class B common stock</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214,983,486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215,096,974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214,951,279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214,885,210</w:t>
            </w: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of other participating securities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159,088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165,713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137,252</w:t>
            </w:r>
          </w:p>
        </w:tc>
        <w:tc>
          <w:tcPr>
            <w:tcW w:w="0" w:type="dxa"/>
            <w:vAlign w:val="bottom"/>
          </w:tcPr>
          <w:p>
            <w:pPr>
              <w:spacing w:after="0"/>
              <w:rPr>
                <w:sz w:val="1"/>
                <w:szCs w:val="1"/>
                <w:color w:val="auto"/>
              </w:rPr>
            </w:pPr>
          </w:p>
        </w:tc>
      </w:tr>
      <w:tr>
        <w:trPr>
          <w:trHeight w:val="221"/>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exchange of LLC Interests for shares of Class A or Class B</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common stock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23,062,320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23,076,235</w:t>
            </w: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23,065,139</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23,077,298</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diluted weighted average shares outstanding</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238,204,894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238,300,112</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238,182,131</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238,099,760</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(in thousands)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179,332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618,369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513,968</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Diluted EPS</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0.75</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200" w:hanging="332"/>
        <w:spacing w:after="0" w:line="266" w:lineRule="auto"/>
        <w:tabs>
          <w:tab w:leader="none" w:pos="33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 average of unvested stock awards and unsettled vested stock awards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unaudited condensed consolidated financial statements included elsewhere in this Quarterly Report on Form 10-Q for a discussion of the two-class method.</w:t>
      </w:r>
    </w:p>
    <w:p>
      <w:pPr>
        <w:spacing w:after="0" w:line="1" w:lineRule="exact"/>
        <w:rPr>
          <w:rFonts w:ascii="Times New Roman" w:cs="Times New Roman" w:eastAsia="Times New Roman" w:hAnsi="Times New Roman"/>
          <w:sz w:val="14"/>
          <w:szCs w:val="14"/>
          <w:color w:val="auto"/>
        </w:rPr>
      </w:pPr>
    </w:p>
    <w:p>
      <w:pPr>
        <w:ind w:left="340" w:right="480" w:hanging="332"/>
        <w:spacing w:after="0" w:line="263" w:lineRule="auto"/>
        <w:tabs>
          <w:tab w:leader="none" w:pos="33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which requires us to make estimates and assumptions about future events that affect the reported amounts of assets, liabilities, revenues and expenses, and disclosure of contingent assets and liabilities.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Management evaluates its accounting policies, estimates and judgments on an on-going basis.</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Our most critical policies and estimates include revenue recognition, stock-based compensation, current and deferred income taxes and the tax receivable agreement liability.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condensed consolidated financial statements included elsewhere in this Quarterly Report on Form 10-Q.</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enter into contracts with our clients to provide a stand-ready connection to our electronic marketplaces, which facilitates the execution of trades by our clients. The access to our electronic marketplaces includes market data and continuous pricing data refreshes and the processing and reporting of trades thereon, which are highly interrelated services. The stand-ready connection to our electronic marketplaces is considered a single performance obligation satisfied over time as the client simultaneously receives and consumes the benefit from our performance as access is provided. This performance obligation constitutes a series of services that are substantially the same in nature and are provided over time using the same measure of progress.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our services, we may earn subscription fees for granting access to our electronic marketplaces. We may also earn transaction fees and/or commissions from transactions executed on our trading platforms, including the basis point commissions earned on the monthly ADB of money market fund investments made through our ICD Portal and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and commissions or monthly transaction fee and commission minimums are generally earned on a monthly basis in the period the stand-ready trading services are provided. Variable transaction fee and commission revenue associated with a particular trade is recognized and recorded on a trade-date basis when the individual trade occurs. Variable commission revenue based upon a clients’ ADB invested in money market funds during a calendar month is recorded monthly. Variable discounts or rebates on transaction fees and commissions are generally earned and applied monthly or quarterly, are resolved within the same reporting period and are recorded as a reduction to revenue in the period the relevant trades occur.</w:t>
      </w:r>
    </w:p>
    <w:p>
      <w:pPr>
        <w:spacing w:after="0" w:line="16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earn fees from LSEG relating to the sale of market data to LSEG, which distributes that data. Included in these fees are real-time market data fees which are recognized monthly on a straight-line basis as LSEG receives and consumes the benefit evenly, over the contact period, as the data is provided, and fees for historical data sets which are recognized when the historical data set is provided to LSEG.</w:t>
      </w:r>
    </w:p>
    <w:p>
      <w:pPr>
        <w:spacing w:after="0" w:line="13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are required to make significant judgments for the LSEG market data fees. Significant judgments used in accounting for this contract include the following determinations:</w:t>
      </w:r>
    </w:p>
    <w:p>
      <w:pPr>
        <w:spacing w:after="0" w:line="121"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9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121"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13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each of the three and nine months ended September 30, 2025 and 2024, there were no material changes in the methodology or assumptions used to determine the LSEG market data fees.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PSUs, the Company recognizes stock-based compensation based on the estimated grant date fair value of the awards computed with the assistance of a valuation specialist using a Monte Carlo simulation on a binomial model, which represents a significant accounting estimate given the significant level of estimation uncertainty relating to the selection of valuation assumptions required for the valuation. The significant assumptions used to estimate the fair value of the PSUs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On March 17, 2025, we granted 65,532 PSUs with a grant date fair value totaling $14.2 million, which will be amortized into expense on a straight-line basis through December 31, 2027. The significant assumptions used in determining the grant date fair value of the award were a maturity of 2.8 years, annualized volatility of 25.04% and a risk-free interest rate of 3.95%. A change in any of the assumptions used to value these awards could materially affect stock-based compensation expense recorded in the current and future periods. During each of the three and nine months ended September 30, 2025 and 2024, there were no material changes in the methodology or assumptions used to determine the valuation of our annual PSU grants.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For PRSUs, the Company recognizes stock-based compensation based on the fair market value of our Class A common stock at the grant date and an estimate of the number of shares included in expense each period is based on management’s estimate of the probable final performance modifier for those grants, with such estimate updated each period until the performance modifier is finalized. For PRSUs granted during 2025 and 2024, the financial performance of the Company will be determined based on the compound annual growth rate over a three-year performance period beginning on January 1 in the year of grant and the performance modifier can vary between 0% (minimum) and 250% (maximum) of the target (100%) award amount. As of September 30, 2025, a 10% decrease in the estimated final share payouts would decrease the total expense recognized for these awards for both the three and nine months ended September 30, 2025 by approximately $3.4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 among the jurisdictions in which we operate. Any changes in our practices or judgments involved in the measurement of deferred tax assets and liabilities could materially impact our financial condition or results of operations.</w:t>
      </w:r>
    </w:p>
    <w:p>
      <w:pPr>
        <w:spacing w:after="0" w:line="14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connection with recording deferred tax assets and liabilities, we record valuation allowances when we believe that it is more likely than not that the Company will not be able to realize its deferred tax assets in the future. We evaluate our deferred tax assets quarterly to determine whether adjustments to our valuation allowance are appropriate in light of changes in facts or circumstances, such as changes in tax law, interactions with taxing authorities and developments in case law. In making this evaluation, we rely on our recent history of pre-tax earnings, our forecasts of future earnings and the nature and timing of future deductions and benefits represented by the deferred tax assets, all of which involve the exercise of significant judgment. As of both September 30, 2025 and December 31, 2024, we had a $1.7 million valuation allowance established on our deferred tax assets. If forecasts of future earnings and the nature and estimated timing of future deductions and benefits change in the future, we may determine that existing valuation allowances must be revised or new valuation allowances created, any of which could materially impact our financial condition or results of operations. See Note 6 – Income Taxes to our unaudited condensed consolidated financial statements included elsewhere in this Quarterly Report on Form 10-Q.</w:t>
      </w:r>
    </w:p>
    <w:p>
      <w:pPr>
        <w:spacing w:after="0" w:line="16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within the provision for income taxes in our condensed consolidated statements of income. Accrued interest and penalties are included within accounts payable, accrued expenses and other liabilities in our condensed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0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15 years following the purchase of LLC Interests from Continuing LLC Owners or redemption or exchanges by Continuing LLC Owners of LLC Interests. The timing of the payments over the 15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pacing w:after="0" w:line="15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Note 2 – Significant Accounting Policies to the condensed consolidated financial statements included elsewhere in this Quarterly Report on Form 10-Q for a discussion of recent accounting pronouncements.</w:t>
      </w:r>
    </w:p>
    <w:p>
      <w:pPr>
        <w:spacing w:after="0" w:line="117" w:lineRule="exact"/>
        <w:rPr>
          <w:sz w:val="20"/>
          <w:szCs w:val="20"/>
          <w:color w:val="auto"/>
        </w:rPr>
      </w:pPr>
    </w:p>
    <w:p>
      <w:pPr>
        <w:ind w:right="408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ITEM 3. QUANTITATIVE AND QUALITATIVE DISCLOSURES ABOUT MARKET RISK </w:t>
      </w:r>
      <w:r>
        <w:rPr>
          <w:rFonts w:ascii="Times New Roman" w:cs="Times New Roman" w:eastAsia="Times New Roman" w:hAnsi="Times New Roman"/>
          <w:sz w:val="18"/>
          <w:szCs w:val="18"/>
          <w:b w:val="1"/>
          <w:bCs w:val="1"/>
          <w:i w:val="1"/>
          <w:iCs w:val="1"/>
          <w:color w:val="auto"/>
        </w:rPr>
        <w:t>Foreign Currency and Derivative Risk</w:t>
      </w:r>
    </w:p>
    <w:p>
      <w:pPr>
        <w:ind w:right="500"/>
        <w:spacing w:after="0" w:line="282" w:lineRule="auto"/>
        <w:rPr>
          <w:sz w:val="20"/>
          <w:szCs w:val="20"/>
          <w:color w:val="auto"/>
        </w:rPr>
      </w:pPr>
      <w:r>
        <w:rPr>
          <w:rFonts w:ascii="Times New Roman" w:cs="Times New Roman" w:eastAsia="Times New Roman" w:hAnsi="Times New Roman"/>
          <w:sz w:val="18"/>
          <w:szCs w:val="18"/>
          <w:color w:val="auto"/>
        </w:rPr>
        <w:t>We have global operations and substantial portions of our revenues, expenses, assets and liabilities are generated and denominated in non-U.S. dollar currencies.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percentage breakdown of our revenue and operating expenses denominated in currencies other than the U.S. dollar for the three and nine months ended September 30, 2025 and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hanging="194"/>
        <w:spacing w:after="0"/>
        <w:tabs>
          <w:tab w:leader="none" w:pos="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revenue denominated in foreign currencies </w:t>
      </w:r>
      <w:r>
        <w:rPr>
          <w:rFonts w:ascii="Times New Roman" w:cs="Times New Roman" w:eastAsia="Times New Roman" w:hAnsi="Times New Roman"/>
          <w:sz w:val="9"/>
          <w:szCs w:val="9"/>
          <w:color w:val="auto"/>
        </w:rPr>
        <w:t>(1)</w:t>
      </w:r>
    </w:p>
    <w:p>
      <w:pPr>
        <w:spacing w:after="0" w:line="63" w:lineRule="exact"/>
        <w:rPr>
          <w:rFonts w:ascii="Times New Roman" w:cs="Times New Roman" w:eastAsia="Times New Roman" w:hAnsi="Times New Roman"/>
          <w:sz w:val="18"/>
          <w:szCs w:val="18"/>
          <w:color w:val="auto"/>
        </w:rPr>
      </w:pPr>
    </w:p>
    <w:p>
      <w:pPr>
        <w:ind w:left="220" w:hanging="194"/>
        <w:spacing w:after="0"/>
        <w:tabs>
          <w:tab w:leader="none" w:pos="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operating expenses denominated in foreign currencies </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6"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in foreign currencies is primarily denominated in euros.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 foreign currencies are primarily denominated in British pounds sterling.</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360" w:type="dxa"/>
            <w:vAlign w:val="bottom"/>
            <w:gridSpan w:val="4"/>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198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880" w:type="dxa"/>
            <w:vAlign w:val="bottom"/>
            <w:gridSpan w:val="3"/>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40" w:type="dxa"/>
            <w:vAlign w:val="bottom"/>
            <w:vMerge w:val="restart"/>
          </w:tcPr>
          <w:p>
            <w:pPr>
              <w:spacing w:after="0"/>
              <w:rPr>
                <w:sz w:val="2"/>
                <w:szCs w:val="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6"/>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w:t>
            </w:r>
          </w:p>
        </w:tc>
        <w:tc>
          <w:tcPr>
            <w:tcW w:w="1880" w:type="dxa"/>
            <w:vAlign w:val="bottom"/>
            <w:gridSpan w:val="2"/>
          </w:tcPr>
          <w:p>
            <w:pPr>
              <w:jc w:val="center"/>
              <w:ind w:left="456"/>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2"/>
                <w:szCs w:val="22"/>
                <w:color w:val="auto"/>
              </w:rPr>
            </w:pPr>
          </w:p>
        </w:tc>
        <w:tc>
          <w:tcPr>
            <w:tcW w:w="880" w:type="dxa"/>
            <w:vAlign w:val="bottom"/>
          </w:tcPr>
          <w:p>
            <w:pPr>
              <w:jc w:val="center"/>
              <w:ind w:left="359"/>
              <w:spacing w:after="0"/>
              <w:rPr>
                <w:sz w:val="20"/>
                <w:szCs w:val="20"/>
                <w:color w:val="auto"/>
              </w:rPr>
            </w:pPr>
            <w:r>
              <w:rPr>
                <w:rFonts w:ascii="Times New Roman" w:cs="Times New Roman" w:eastAsia="Times New Roman" w:hAnsi="Times New Roman"/>
                <w:sz w:val="18"/>
                <w:szCs w:val="18"/>
                <w:color w:val="auto"/>
                <w:w w:val="96"/>
              </w:rPr>
              <w:t>30%</w:t>
            </w:r>
          </w:p>
        </w:tc>
        <w:tc>
          <w:tcPr>
            <w:tcW w:w="1880" w:type="dxa"/>
            <w:vAlign w:val="bottom"/>
            <w:gridSpan w:val="3"/>
          </w:tcPr>
          <w:p>
            <w:pPr>
              <w:jc w:val="center"/>
              <w:ind w:left="456"/>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1880" w:type="dxa"/>
            <w:vAlign w:val="bottom"/>
            <w:gridSpan w:val="2"/>
          </w:tcPr>
          <w:p>
            <w:pPr>
              <w:jc w:val="center"/>
              <w:ind w:left="456"/>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3"/>
                <w:szCs w:val="23"/>
                <w:color w:val="auto"/>
              </w:rPr>
            </w:pPr>
          </w:p>
        </w:tc>
        <w:tc>
          <w:tcPr>
            <w:tcW w:w="880" w:type="dxa"/>
            <w:vAlign w:val="bottom"/>
          </w:tcPr>
          <w:p>
            <w:pPr>
              <w:jc w:val="center"/>
              <w:ind w:left="359"/>
              <w:spacing w:after="0"/>
              <w:rPr>
                <w:sz w:val="20"/>
                <w:szCs w:val="20"/>
                <w:color w:val="auto"/>
              </w:rPr>
            </w:pPr>
            <w:r>
              <w:rPr>
                <w:rFonts w:ascii="Times New Roman" w:cs="Times New Roman" w:eastAsia="Times New Roman" w:hAnsi="Times New Roman"/>
                <w:sz w:val="18"/>
                <w:szCs w:val="18"/>
                <w:color w:val="auto"/>
                <w:w w:val="96"/>
              </w:rPr>
              <w:t>16%</w:t>
            </w:r>
          </w:p>
        </w:tc>
        <w:tc>
          <w:tcPr>
            <w:tcW w:w="1880" w:type="dxa"/>
            <w:vAlign w:val="bottom"/>
            <w:gridSpan w:val="3"/>
          </w:tcPr>
          <w:p>
            <w:pPr>
              <w:jc w:val="center"/>
              <w:ind w:left="456"/>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-479425</wp:posOffset>
            </wp:positionV>
            <wp:extent cx="17576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602" w:lineRule="exact"/>
        <w:rPr>
          <w:sz w:val="20"/>
          <w:szCs w:val="20"/>
          <w:color w:val="auto"/>
        </w:rPr>
      </w:pPr>
    </w:p>
    <w:p>
      <w:pPr>
        <w:sectPr>
          <w:pgSz w:w="11900" w:h="16838" w:orient="portrait"/>
          <w:cols w:equalWidth="0" w:num="2">
            <w:col w:w="5780" w:space="340"/>
            <w:col w:w="5120"/>
          </w:cols>
          <w:pgMar w:left="320" w:top="121" w:right="339" w:bottom="1440" w:gutter="0" w:footer="0" w:header="0"/>
          <w:type w:val="continuous"/>
        </w:sect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Realized and unrealized gains/losses from foreign currency remeasurement of transactions in nonfunctional currencies recognized in the condensed consolidated statements of income within general and administrative expense totaled a gain of $2.1 million and a loss of $0.9 million during the three months ended September 30, 2025 and 2024, respectively, and a gain of $4.7 million and a loss of $2.9 million during the nine months ended September 30, 2025 and 2024, respectively.</w:t>
      </w:r>
    </w:p>
    <w:p>
      <w:pPr>
        <w:spacing w:after="0" w:line="15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Since our condensed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three and nine months ended September 30, 2025 and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30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60" w:type="dxa"/>
            <w:vAlign w:val="bottom"/>
          </w:tcPr>
          <w:p>
            <w:pPr>
              <w:spacing w:after="0"/>
              <w:rPr>
                <w:sz w:val="16"/>
                <w:szCs w:val="16"/>
                <w:color w:val="auto"/>
              </w:rPr>
            </w:pPr>
          </w:p>
        </w:tc>
      </w:tr>
      <w:tr>
        <w:trPr>
          <w:trHeight w:val="203"/>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0"/>
        </w:trPr>
        <w:tc>
          <w:tcPr>
            <w:tcW w:w="56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r>
      <w:tr>
        <w:trPr>
          <w:trHeight w:val="25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3"/>
                <w:szCs w:val="23"/>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3"/>
                <w:szCs w:val="23"/>
                <w:color w:val="auto"/>
              </w:rPr>
            </w:pP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3"/>
                <w:szCs w:val="23"/>
                <w:color w:val="auto"/>
              </w:rPr>
            </w:pP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bl>
    <w:p>
      <w:pPr>
        <w:spacing w:after="0" w:line="252"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shows the change in revenue and operating income caused by fluctuations in foreign currency rates used in translation during the three and nine months ended September 30,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Impact of Foreign Currency Rate Fluctuations (dollars in thousands)</w:t>
            </w:r>
          </w:p>
        </w:tc>
        <w:tc>
          <w:tcPr>
            <w:tcW w:w="10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12,900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(decrease) in 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tcPr>
          <w:p>
            <w:pPr>
              <w:spacing w:after="0"/>
              <w:rPr>
                <w:sz w:val="20"/>
                <w:szCs w:val="20"/>
                <w:color w:val="auto"/>
              </w:rPr>
            </w:pP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shows the impact a hypothetical 10% increase or decrease in the U.S. dollar against all other currencies and a hypothetical 10% increase or decrease in only euro or only British pound sterling exchange rates would have on the translation of actual revenue and operating income for the three and nine months ended September 30,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5"/>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Hypothetical 10% Change in Value of U.S. Dollar (dollars in thousands)</w:t>
            </w: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5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All currencies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100" w:type="dxa"/>
            <w:vAlign w:val="bottom"/>
          </w:tcPr>
          <w:p>
            <w:pPr>
              <w:spacing w:after="0"/>
              <w:rPr>
                <w:sz w:val="23"/>
                <w:szCs w:val="23"/>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14,200</w:t>
            </w:r>
          </w:p>
        </w:tc>
        <w:tc>
          <w:tcPr>
            <w:tcW w:w="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51,900</w:t>
            </w:r>
          </w:p>
        </w:tc>
        <w:tc>
          <w:tcPr>
            <w:tcW w:w="80" w:type="dxa"/>
            <w:vAlign w:val="bottom"/>
          </w:tcPr>
          <w:p>
            <w:pPr>
              <w:spacing w:after="0"/>
              <w:rPr>
                <w:sz w:val="23"/>
                <w:szCs w:val="23"/>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27,700</w:t>
            </w: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Euros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10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44,100</w:t>
            </w:r>
          </w:p>
        </w:tc>
        <w:tc>
          <w:tcPr>
            <w:tcW w:w="8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British pound sterling</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derivative risk relating to our foreign exchange derivative contracts. We enter into foreign currency forward contracts to mitigate our U.S. dollar and British pound sterling versus euro exposure, generally with a duration of not more than 12 months. We do not use derivative instruments for trading or speculative purposes. As of September 30, 2025 and December 31, 2024, the notional amount of our foreign currency forward contracts was $328.3 million and $238.2 million, respectively. Realized and unrealized gains/losses on foreign currency forward contracts totaled a loss of $1.8 million and a loss of $3.1 million during the three months ended September 30, 2025 and 2024, respectively, and a loss of $22.6 million and a gain of $3.8 million during the nine months ended September 30, 2025 and 2024, respectively.</w:t>
      </w:r>
    </w:p>
    <w:p>
      <w:pPr>
        <w:spacing w:after="0" w:line="16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 As of September 30, 2025 and December 31, 2024, the counterparty on each of the foreign exchange derivative contracts was an affiliate of LSEG.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0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credit risk relating to our receivables, which are primarily receivables from financial institutions, including investment managers and brokers and dealers and our investments in available-for-sale debt securities. As of September 30, 2025 and December 31, 2024, the allowance for credit losses with regard to these receivables totaled $0.3 million and $0.4 million, respectively. There was no allowance for credit losses recorded on available-for-sale debt securities as of September 30, 2025 and December 31, 2024.</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5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Additionally, in the normal course of business, the Company, as an introducing broker, executes transactions on behalf of or with clients of the Company, which are cleared by a clearing broker. As between the Company and the clearing broker, the Company is responsible for losses that may result from the clearing broker’s rejection, reversal or cancellation of a transaction.</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Our management has evaluated, under the supervision of our Chief Executive Officer (“CEO”) and Chief Financial Officer (“CFO”), the effectiveness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of the Exchange Act,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Based on that evaluation, our CEO and CFO have concluded that our disclosure controls and procedures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are effective at a reasonable assurance level in ensuring that information required to be disclosed in our Exchange Act reports is (1) recorded, processed, summarized and reported in a timely manner and (2) accumulated and communicated to our management, including our CEO and CFO, as appropriate to allow timely decisions regarding required disclosure. Our management, including our CEO and CFO,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quarter ended September 30, 2025 that have materially affected, or that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to the condensed consolidated financial statements included elsewhere in this Quarterly Report on Form 10-Q, there have been no material changes from the legal proceedings previously disclosed under the heading “Item 3. Legal Proceedings” in Part I of our 2024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principal risks that we believe are material to our business, results of operations and financial condition, from the risk factors previously disclosed in “Item 1A. Risk Factors” in Part I of our 2024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2025, we did not repurchase any securities pursuant to the 2022 Share Repurchase Program.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9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Trading Plans of Executive Officers and Director</w:t>
      </w:r>
      <w:r>
        <w:rPr>
          <w:rFonts w:ascii="Times New Roman" w:cs="Times New Roman" w:eastAsia="Times New Roman" w:hAnsi="Times New Roman"/>
          <w:sz w:val="18"/>
          <w:szCs w:val="18"/>
          <w:color w:val="auto"/>
        </w:rPr>
        <w:t>s</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directors or executive officers adopted, modified or terminated a trading plan intended to satisfy the affirmative defense conditions of Rule 10b5-1(c) under the Exchange Act, as defined in Item 408 of Regulation S-K (“Rule 10b5-1 trading arrangements”) or a non-Rule 10b5-1 trading arrangement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40" w:type="dxa"/>
            <w:vAlign w:val="bottom"/>
            <w:gridSpan w:val="7"/>
          </w:tcPr>
          <w:p>
            <w:pPr>
              <w:ind w:left="27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3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9620" w:type="dxa"/>
            <w:vAlign w:val="bottom"/>
            <w:gridSpan w:val="8"/>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or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of the Securities Exchange Act of 1934, as</w:t>
            </w:r>
          </w:p>
        </w:tc>
      </w:tr>
      <w:tr>
        <w:trPr>
          <w:trHeight w:val="156"/>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060" w:type="dxa"/>
            <w:vAlign w:val="bottom"/>
            <w:tcBorders>
              <w:top w:val="single" w:sz="8" w:color="0000FF"/>
            </w:tcBorders>
            <w:gridSpan w:val="2"/>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9620" w:type="dxa"/>
            <w:vAlign w:val="bottom"/>
            <w:gridSpan w:val="8"/>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or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of the Securities Exchange Act of 1934, as</w:t>
            </w:r>
          </w:p>
        </w:tc>
      </w:tr>
      <w:tr>
        <w:trPr>
          <w:trHeight w:val="156"/>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020" w:type="dxa"/>
            <w:vAlign w:val="bottom"/>
            <w:tcBorders>
              <w:top w:val="single" w:sz="8" w:color="0000FF"/>
            </w:tcBorders>
          </w:tcPr>
          <w:p>
            <w:pPr>
              <w:spacing w:after="0"/>
              <w:rPr>
                <w:sz w:val="13"/>
                <w:szCs w:val="13"/>
                <w:color w:val="auto"/>
              </w:rPr>
            </w:pPr>
          </w:p>
        </w:tc>
        <w:tc>
          <w:tcPr>
            <w:tcW w:w="3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56"/>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40" w:type="dxa"/>
            <w:vAlign w:val="bottom"/>
            <w:gridSpan w:val="2"/>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6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r>
      <w:tr>
        <w:trPr>
          <w:trHeight w:val="155"/>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80" w:type="dxa"/>
            <w:vAlign w:val="bottom"/>
            <w:gridSpan w:val="3"/>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40" w:type="dxa"/>
            <w:vAlign w:val="bottom"/>
            <w:gridSpan w:val="7"/>
          </w:tcPr>
          <w:p>
            <w:pPr>
              <w:spacing w:after="0" w:line="20" w:lineRule="exact"/>
              <w:rPr>
                <w:sz w:val="1"/>
                <w:szCs w:val="1"/>
                <w:color w:val="auto"/>
              </w:rPr>
            </w:pPr>
          </w:p>
        </w:tc>
      </w:tr>
      <w:tr>
        <w:trPr>
          <w:trHeight w:val="426"/>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9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r>
      <w:tr>
        <w:trPr>
          <w:trHeight w:val="522"/>
        </w:trPr>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0"/>
        </w:trPr>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34"/>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Indicates a management contract or compensatory plan or arrangement.</w:t>
            </w:r>
          </w:p>
        </w:tc>
      </w:tr>
      <w:tr>
        <w:trPr>
          <w:trHeight w:val="905"/>
        </w:trPr>
        <w:tc>
          <w:tcPr>
            <w:tcW w:w="1600" w:type="dxa"/>
            <w:vAlign w:val="bottom"/>
          </w:tcPr>
          <w:p>
            <w:pPr>
              <w:spacing w:after="0"/>
              <w:rPr>
                <w:sz w:val="24"/>
                <w:szCs w:val="24"/>
                <w:color w:val="auto"/>
              </w:rPr>
            </w:pPr>
          </w:p>
        </w:tc>
        <w:tc>
          <w:tcPr>
            <w:tcW w:w="5880" w:type="dxa"/>
            <w:vAlign w:val="bottom"/>
            <w:gridSpan w:val="3"/>
          </w:tcPr>
          <w:p>
            <w:pPr>
              <w:jc w:val="right"/>
              <w:ind w:right="1688"/>
              <w:spacing w:after="0"/>
              <w:rPr>
                <w:sz w:val="20"/>
                <w:szCs w:val="20"/>
                <w:color w:val="auto"/>
              </w:rPr>
            </w:pPr>
            <w:r>
              <w:rPr>
                <w:rFonts w:ascii="Times New Roman" w:cs="Times New Roman" w:eastAsia="Times New Roman" w:hAnsi="Times New Roman"/>
                <w:sz w:val="18"/>
                <w:szCs w:val="18"/>
                <w:color w:val="auto"/>
              </w:rPr>
              <w:t>84</w:t>
            </w:r>
          </w:p>
        </w:tc>
        <w:tc>
          <w:tcPr>
            <w:tcW w:w="3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October 30, 2025</w:t>
      </w:r>
      <w:r>
        <w:rPr>
          <w:sz w:val="20"/>
          <w:szCs w:val="20"/>
          <w:color w:val="auto"/>
        </w:rPr>
        <w:tab/>
      </w:r>
      <w:r>
        <w:rPr>
          <w:rFonts w:ascii="Times New Roman" w:cs="Times New Roman" w:eastAsia="Times New Roman" w:hAnsi="Times New Roman"/>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36347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William Hult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October 30, 2025</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36347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Sara Furber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00"/>
          </w:cols>
          <w:pgMar w:left="320" w:top="121" w:right="37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Hult, certify that:</w:t>
      </w:r>
    </w:p>
    <w:p>
      <w:pPr>
        <w:spacing w:after="0" w:line="225"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September 30, 2025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Hult</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Hult</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03"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 Furber, certify that:</w:t>
      </w:r>
    </w:p>
    <w:p>
      <w:pPr>
        <w:spacing w:after="0" w:line="225"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September 30, 2025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October 30, 2025</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Sara Furber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September 30, 2025, as filed with the Securities and Exchange Commission on the date hereof (the “Report”), William Hult, Chief Executive Officer of the Company, hereby certifies, pursuant to 18 U.S.C. Section 1350, as adopted pursuant to Section 906 of the Sarbanes-Oxley Act of 2002, that, to his knowledge:</w:t>
      </w:r>
    </w:p>
    <w:p>
      <w:pPr>
        <w:spacing w:after="0" w:line="176" w:lineRule="exact"/>
        <w:rPr>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October 30, 2025</w:t>
      </w:r>
      <w:r>
        <w:rPr>
          <w:sz w:val="20"/>
          <w:szCs w:val="20"/>
          <w:color w:val="auto"/>
        </w:rPr>
        <w:tab/>
      </w:r>
      <w:r>
        <w:rPr>
          <w:rFonts w:ascii="Times New Roman" w:cs="Times New Roman" w:eastAsia="Times New Roman" w:hAnsi="Times New Roman"/>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William Hult</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September 30, 2025, as filed with the Securities and Exchange Commission on the date hereof (the “Report”), Sara Furber, Chief Financial Officer of the Company, hereby certifies, pursuant to 18 U.S.C. Section 1350, as adopted pursuant to Section 906 of the Sarbanes-Oxley Act of 2002, that, to her knowledge:</w:t>
      </w:r>
    </w:p>
    <w:p>
      <w:pPr>
        <w:spacing w:after="0" w:line="176" w:lineRule="exact"/>
        <w:rPr>
          <w:sz w:val="20"/>
          <w:szCs w:val="20"/>
          <w:color w:val="auto"/>
        </w:rPr>
      </w:pPr>
    </w:p>
    <w:p>
      <w:pPr>
        <w:ind w:left="640" w:hanging="308"/>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 Furber</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 Furber</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endash "/>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lowerRoman"/>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2025-10-30T06:26:53Z</dcterms:created>
  <dcterms:modified xsi:type="dcterms:W3CDTF">2025-10-30T06:26:53Z</dcterms:modified>
</cp:coreProperties>
</file>