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3147649.xml.htm"/>
      <w:bookmarkStart w:id="1" w:name="kswkform4_17231476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Yared Rana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TRADEWEB MARKETS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1177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Tradeweb Markets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0"/>
        <w:gridCol w:w="902"/>
        <w:gridCol w:w="772"/>
        <w:gridCol w:w="599"/>
        <w:gridCol w:w="347"/>
        <w:gridCol w:w="841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110.085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amount includes 1,323 unvested restricted stock units in respect of the issuer's Class A Common Stock that are scheduled to vest on May 10, 2025, subject to the reporting person's continued service as a director through the applicable vesting date or as may be pro-rated pursuant to the issuer's Non-Employee Director Compensation Policy, as disclosed in the issuer's Proxy Statement on DEF 14A filed with the SEC on March 28,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Friedman, Attorney-in-Fact for Rana Yared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940347" TargetMode="External"/><Relationship Id="rId4" Type="http://schemas.openxmlformats.org/officeDocument/2006/relationships/hyperlink" Target="http://www.sec.gov/cgi-bin/browse-edgar?action=getcompany&amp;CIK=0001758730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3432</Characters>
  <CharactersWithSpaces>4004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