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ENRICO BRUNI</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17380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2072844.82</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116487927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01/01/2024 vesting under a</w:t>
            </w:r>
          </w:p>
        </w:tc>
        <w:tc>
          <w:tcPr>
            <w:tcW w:w="154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10116</w:t>
            </w:r>
          </w:p>
        </w:tc>
        <w:tc>
          <w:tcPr>
            <w:tcW w:w="248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01/01/2024 Not Applicable</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01/01/2025 vesting under a</w:t>
            </w:r>
          </w:p>
        </w:tc>
        <w:tc>
          <w:tcPr>
            <w:tcW w:w="154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460</w:t>
            </w:r>
          </w:p>
        </w:tc>
        <w:tc>
          <w:tcPr>
            <w:tcW w:w="248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01/01/2025 Not Applicable</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03/15/2024 vesting under a</w:t>
            </w:r>
          </w:p>
        </w:tc>
        <w:tc>
          <w:tcPr>
            <w:tcW w:w="154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6804</w:t>
            </w:r>
          </w:p>
        </w:tc>
        <w:tc>
          <w:tcPr>
            <w:tcW w:w="248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03/15/2024 Not Applicable</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Enrico Bruni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2026-02-20T15:34:37Z</dcterms:created>
  <dcterms:modified xsi:type="dcterms:W3CDTF">2026-02-20T15:34:37Z</dcterms:modified>
</cp:coreProperties>
</file>