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869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87.43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46,636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17"/>
              <w:spacing w:after="0" w:line="320" w:lineRule="exact"/>
              <w:rPr>
                <w:sz w:val="20"/>
                <w:szCs w:val="20"/>
                <w:color w:val="auto"/>
              </w:rPr>
            </w:pPr>
            <w:r>
              <w:rPr>
                <w:rFonts w:ascii="Arial" w:cs="Arial" w:eastAsia="Arial" w:hAnsi="Arial"/>
                <w:sz w:val="34"/>
                <w:szCs w:val="34"/>
                <w:color w:val="0000FF"/>
                <w:vertAlign w:val="subscript"/>
              </w:rPr>
              <w:t>2</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46,638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3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3,001 unvested RSUs in respect of Class A Common Stock which are scheduled to vest on March 17, 2023, (ii) 18,008 unvested RSUs in respect of Class A Common Stock which are scheduled to vest on January 1, 2023, (iii) 3,393 unvested RSUs in respect of Class A Common Stock which are scheduled to vest in equal installments on each of March 15, 2023 and March 15, 2024, (iv) 10,180 unvested RSUs in respect of Class A Common Stock which are scheduled to vest on January 1, 2024, and (v) 5,224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2022-03-18T19:12:12Z</dcterms:created>
  <dcterms:modified xsi:type="dcterms:W3CDTF">2022-03-18T19:12:12Z</dcterms:modified>
</cp:coreProperties>
</file>