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Tradeweb Markets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892672106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Timothy Knowland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Corporate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Stock Exchange Group plc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 Paternoster Square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EC4M 7LS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+44 (0) 20 7797 1000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Levitt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Sebastian Fain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Freshfields Bruckhaus Deringer US LLP</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 World Trade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175 Greenwich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10007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(212) 277-4000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18,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2"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73" w:lineRule="exact"/>
        <w:rPr>
          <w:sz w:val="20"/>
          <w:szCs w:val="20"/>
          <w:color w:val="auto"/>
        </w:rPr>
      </w:pPr>
    </w:p>
    <w:p>
      <w:pPr>
        <w:ind w:left="640" w:right="7820" w:hanging="387"/>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Refinitiv US PME LLC</w:t>
      </w:r>
    </w:p>
    <w:p>
      <w:pPr>
        <w:spacing w:after="0" w:line="67" w:lineRule="exact"/>
        <w:rPr>
          <w:sz w:val="20"/>
          <w:szCs w:val="20"/>
          <w:color w:val="auto"/>
        </w:rPr>
      </w:pPr>
    </w:p>
    <w:p>
      <w:pPr>
        <w:ind w:left="640" w:hanging="38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76"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sz w:val="20"/>
          <w:szCs w:val="20"/>
          <w:color w:val="auto"/>
        </w:rPr>
      </w:pPr>
    </w:p>
    <w:p>
      <w:pPr>
        <w:ind w:left="640" w:hanging="38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sz w:val="20"/>
          <w:szCs w:val="20"/>
          <w:color w:val="auto"/>
        </w:rPr>
      </w:pPr>
    </w:p>
    <w:p>
      <w:pPr>
        <w:ind w:left="640" w:right="6920" w:hanging="387"/>
        <w:spacing w:after="0" w:line="355"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22,988,329</w:t>
      </w:r>
    </w:p>
    <w:p>
      <w:pPr>
        <w:ind w:left="640" w:hanging="4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16.5%</w:t>
      </w:r>
    </w:p>
    <w:p>
      <w:pPr>
        <w:ind w:left="640" w:right="6260" w:hanging="432"/>
        <w:spacing w:after="0" w:line="407"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73" w:lineRule="exact"/>
        <w:rPr>
          <w:sz w:val="20"/>
          <w:szCs w:val="20"/>
          <w:color w:val="auto"/>
        </w:rPr>
      </w:pPr>
    </w:p>
    <w:p>
      <w:pPr>
        <w:ind w:left="640" w:right="7820" w:hanging="387"/>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Refinitiv US LLC</w:t>
      </w:r>
    </w:p>
    <w:p>
      <w:pPr>
        <w:spacing w:after="0" w:line="67" w:lineRule="exact"/>
        <w:rPr>
          <w:sz w:val="20"/>
          <w:szCs w:val="20"/>
          <w:color w:val="auto"/>
        </w:rPr>
      </w:pPr>
    </w:p>
    <w:p>
      <w:pPr>
        <w:ind w:left="640" w:hanging="38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76"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sz w:val="20"/>
          <w:szCs w:val="20"/>
          <w:color w:val="auto"/>
        </w:rPr>
      </w:pPr>
    </w:p>
    <w:p>
      <w:pPr>
        <w:ind w:left="640" w:hanging="38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sz w:val="20"/>
          <w:szCs w:val="20"/>
          <w:color w:val="auto"/>
        </w:rPr>
      </w:pPr>
    </w:p>
    <w:p>
      <w:pPr>
        <w:ind w:left="640" w:right="6920" w:hanging="387"/>
        <w:spacing w:after="0" w:line="355"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22,988,329</w:t>
      </w:r>
    </w:p>
    <w:p>
      <w:pPr>
        <w:ind w:left="640" w:hanging="4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16.5%</w:t>
      </w:r>
    </w:p>
    <w:p>
      <w:pPr>
        <w:ind w:left="640" w:right="6260" w:hanging="432"/>
        <w:spacing w:after="0" w:line="40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73" w:lineRule="exact"/>
        <w:rPr>
          <w:sz w:val="20"/>
          <w:szCs w:val="20"/>
          <w:color w:val="auto"/>
        </w:rPr>
      </w:pPr>
    </w:p>
    <w:p>
      <w:pPr>
        <w:ind w:left="640" w:right="7820" w:hanging="387"/>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LSEGA, Inc.</w:t>
      </w:r>
    </w:p>
    <w:p>
      <w:pPr>
        <w:spacing w:after="0" w:line="67" w:lineRule="exact"/>
        <w:rPr>
          <w:sz w:val="20"/>
          <w:szCs w:val="20"/>
          <w:color w:val="auto"/>
        </w:rPr>
      </w:pPr>
    </w:p>
    <w:p>
      <w:pPr>
        <w:ind w:left="640" w:hanging="38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76"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sz w:val="20"/>
          <w:szCs w:val="20"/>
          <w:color w:val="auto"/>
        </w:rPr>
      </w:pPr>
    </w:p>
    <w:p>
      <w:pPr>
        <w:ind w:left="640" w:hanging="38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sz w:val="20"/>
          <w:szCs w:val="20"/>
          <w:color w:val="auto"/>
        </w:rPr>
      </w:pPr>
    </w:p>
    <w:p>
      <w:pPr>
        <w:ind w:left="640" w:right="6920" w:hanging="387"/>
        <w:spacing w:after="0" w:line="355"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22,988,329</w:t>
      </w:r>
    </w:p>
    <w:p>
      <w:pPr>
        <w:ind w:left="640" w:hanging="4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16.5%</w:t>
      </w:r>
    </w:p>
    <w:p>
      <w:pPr>
        <w:ind w:left="640" w:right="6260" w:hanging="432"/>
        <w:spacing w:after="0" w:line="407"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360" w:type="dxa"/>
            <w:vAlign w:val="bottom"/>
            <w:tcBorders>
              <w:top w:val="single" w:sz="8" w:color="auto"/>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auto"/>
              <w:right w:val="single" w:sz="8" w:color="auto"/>
            </w:tcBorders>
          </w:tcPr>
          <w:p>
            <w:pPr>
              <w:spacing w:after="0"/>
              <w:rPr>
                <w:sz w:val="23"/>
                <w:szCs w:val="23"/>
                <w:color w:val="auto"/>
              </w:rPr>
            </w:pPr>
          </w:p>
        </w:tc>
        <w:tc>
          <w:tcPr>
            <w:tcW w:w="10640" w:type="dxa"/>
            <w:vAlign w:val="bottom"/>
            <w:tcBorders>
              <w:top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LSEG US Holdco, Inc.</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52"/>
        </w:trPr>
        <w:tc>
          <w:tcPr>
            <w:tcW w:w="3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w w:val="99"/>
              </w:rPr>
              <w:t xml:space="preserve">(a)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(b) </w:t>
            </w:r>
            <w:r>
              <w:rPr>
                <w:rFonts w:ascii="MS PGothic" w:cs="MS PGothic" w:eastAsia="MS PGothic" w:hAnsi="MS PGothic"/>
                <w:sz w:val="18"/>
                <w:szCs w:val="18"/>
                <w:color w:val="auto"/>
                <w:w w:val="99"/>
              </w:rPr>
              <w:t>☒</w:t>
            </w:r>
          </w:p>
        </w:tc>
        <w:tc>
          <w:tcPr>
            <w:tcW w:w="420" w:type="dxa"/>
            <w:vAlign w:val="bottom"/>
          </w:tcPr>
          <w:p>
            <w:pPr>
              <w:spacing w:after="0"/>
              <w:rPr>
                <w:sz w:val="24"/>
                <w:szCs w:val="24"/>
                <w:color w:val="auto"/>
              </w:rPr>
            </w:pPr>
          </w:p>
        </w:tc>
        <w:tc>
          <w:tcPr>
            <w:tcW w:w="9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9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right w:val="single" w:sz="8" w:color="auto"/>
            </w:tcBorders>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324"/>
        </w:trPr>
        <w:tc>
          <w:tcPr>
            <w:tcW w:w="3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Pr>
          <w:p>
            <w:pPr>
              <w:spacing w:after="0"/>
              <w:rPr>
                <w:sz w:val="24"/>
                <w:szCs w:val="24"/>
                <w:color w:val="auto"/>
              </w:rPr>
            </w:pPr>
          </w:p>
        </w:tc>
        <w:tc>
          <w:tcPr>
            <w:tcW w:w="9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52"/>
        </w:trPr>
        <w:tc>
          <w:tcPr>
            <w:tcW w:w="3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9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9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324"/>
        </w:trPr>
        <w:tc>
          <w:tcPr>
            <w:tcW w:w="3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Pr>
          <w:p>
            <w:pPr>
              <w:spacing w:after="0"/>
              <w:rPr>
                <w:sz w:val="24"/>
                <w:szCs w:val="24"/>
                <w:color w:val="auto"/>
              </w:rPr>
            </w:pPr>
          </w:p>
        </w:tc>
        <w:tc>
          <w:tcPr>
            <w:tcW w:w="9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4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23"/>
                <w:szCs w:val="23"/>
                <w:color w:val="auto"/>
              </w:rPr>
            </w:pPr>
          </w:p>
        </w:tc>
        <w:tc>
          <w:tcPr>
            <w:tcW w:w="4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7</w:t>
            </w:r>
          </w:p>
        </w:tc>
        <w:tc>
          <w:tcPr>
            <w:tcW w:w="9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360" w:type="dxa"/>
            <w:vAlign w:val="bottom"/>
            <w:tcBorders>
              <w:left w:val="single" w:sz="8" w:color="auto"/>
            </w:tcBorders>
          </w:tcPr>
          <w:p>
            <w:pPr>
              <w:spacing w:after="0"/>
              <w:rPr>
                <w:sz w:val="24"/>
                <w:szCs w:val="24"/>
                <w:color w:val="auto"/>
              </w:rPr>
            </w:pPr>
          </w:p>
        </w:tc>
        <w:tc>
          <w:tcPr>
            <w:tcW w:w="108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left w:val="single" w:sz="8" w:color="auto"/>
              <w:right w:val="single" w:sz="8" w:color="auto"/>
            </w:tcBorders>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8</w:t>
            </w:r>
          </w:p>
        </w:tc>
        <w:tc>
          <w:tcPr>
            <w:tcW w:w="9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left w:val="single" w:sz="8" w:color="auto"/>
              <w:right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tcBorders>
          </w:tcPr>
          <w:p>
            <w:pPr>
              <w:spacing w:after="0"/>
              <w:rPr>
                <w:sz w:val="4"/>
                <w:szCs w:val="4"/>
                <w:color w:val="auto"/>
              </w:rPr>
            </w:pPr>
          </w:p>
        </w:tc>
        <w:tc>
          <w:tcPr>
            <w:tcW w:w="1080" w:type="dxa"/>
            <w:vAlign w:val="bottom"/>
            <w:tcBorders>
              <w:right w:val="single" w:sz="8" w:color="auto"/>
            </w:tcBorders>
            <w:gridSpan w:val="2"/>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60" w:type="dxa"/>
            <w:vAlign w:val="bottom"/>
            <w:tcBorders>
              <w:left w:val="single" w:sz="8" w:color="auto"/>
            </w:tcBorders>
          </w:tcPr>
          <w:p>
            <w:pPr>
              <w:spacing w:after="0"/>
              <w:rPr>
                <w:sz w:val="22"/>
                <w:szCs w:val="22"/>
                <w:color w:val="auto"/>
              </w:rPr>
            </w:pPr>
          </w:p>
        </w:tc>
        <w:tc>
          <w:tcPr>
            <w:tcW w:w="1080" w:type="dxa"/>
            <w:vAlign w:val="bottom"/>
            <w:tcBorders>
              <w:right w:val="single" w:sz="8" w:color="auto"/>
            </w:tcBorders>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9</w:t>
            </w:r>
          </w:p>
        </w:tc>
        <w:tc>
          <w:tcPr>
            <w:tcW w:w="9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left w:val="single" w:sz="8" w:color="auto"/>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tcBorders>
          </w:tcPr>
          <w:p>
            <w:pPr>
              <w:spacing w:after="0"/>
              <w:rPr>
                <w:sz w:val="4"/>
                <w:szCs w:val="4"/>
                <w:color w:val="auto"/>
              </w:rPr>
            </w:pPr>
          </w:p>
        </w:tc>
        <w:tc>
          <w:tcPr>
            <w:tcW w:w="1080" w:type="dxa"/>
            <w:vAlign w:val="bottom"/>
            <w:tcBorders>
              <w:right w:val="single" w:sz="8" w:color="auto"/>
            </w:tcBorders>
            <w:gridSpan w:val="2"/>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60" w:type="dxa"/>
            <w:vAlign w:val="bottom"/>
            <w:tcBorders>
              <w:left w:val="single" w:sz="8" w:color="auto"/>
            </w:tcBorders>
          </w:tcPr>
          <w:p>
            <w:pPr>
              <w:spacing w:after="0"/>
              <w:rPr>
                <w:sz w:val="22"/>
                <w:szCs w:val="22"/>
                <w:color w:val="auto"/>
              </w:rPr>
            </w:pPr>
          </w:p>
        </w:tc>
        <w:tc>
          <w:tcPr>
            <w:tcW w:w="1080" w:type="dxa"/>
            <w:vAlign w:val="bottom"/>
            <w:tcBorders>
              <w:right w:val="single" w:sz="8" w:color="auto"/>
            </w:tcBorders>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360" w:type="dxa"/>
            <w:vAlign w:val="bottom"/>
            <w:tcBorders>
              <w:left w:val="single" w:sz="8" w:color="auto"/>
            </w:tcBorders>
          </w:tcPr>
          <w:p>
            <w:pPr>
              <w:spacing w:after="0"/>
              <w:rPr>
                <w:sz w:val="24"/>
                <w:szCs w:val="24"/>
                <w:color w:val="auto"/>
              </w:rPr>
            </w:pPr>
          </w:p>
        </w:tc>
        <w:tc>
          <w:tcPr>
            <w:tcW w:w="108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WITH</w:t>
            </w: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80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80210"/>
                    </a:xfrm>
                    <a:prstGeom prst="rect">
                      <a:avLst/>
                    </a:prstGeom>
                    <a:noFill/>
                  </pic:spPr>
                </pic:pic>
              </a:graphicData>
            </a:graphic>
          </wp:anchor>
        </w:drawing>
      </w:r>
    </w:p>
    <w:p>
      <w:pPr>
        <w:spacing w:after="0" w:line="29" w:lineRule="exact"/>
        <w:rPr>
          <w:sz w:val="20"/>
          <w:szCs w:val="20"/>
          <w:color w:val="auto"/>
        </w:rPr>
      </w:pPr>
    </w:p>
    <w:p>
      <w:pPr>
        <w:ind w:left="640" w:right="4040" w:hanging="428"/>
        <w:spacing w:after="0" w:line="383"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22,988,329</w:t>
      </w:r>
    </w:p>
    <w:p>
      <w:pPr>
        <w:ind w:left="640" w:hanging="4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16.5%</w:t>
      </w:r>
    </w:p>
    <w:p>
      <w:pPr>
        <w:ind w:left="640" w:right="6260" w:hanging="432"/>
        <w:spacing w:after="0" w:line="407"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73" w:lineRule="exact"/>
        <w:rPr>
          <w:sz w:val="20"/>
          <w:szCs w:val="20"/>
          <w:color w:val="auto"/>
        </w:rPr>
      </w:pPr>
    </w:p>
    <w:p>
      <w:pPr>
        <w:ind w:left="640" w:right="7820" w:hanging="387"/>
        <w:spacing w:after="0" w:line="312"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Refinitiv TW Holdings Ltd.</w:t>
      </w:r>
    </w:p>
    <w:p>
      <w:pPr>
        <w:spacing w:after="0" w:line="45" w:lineRule="exact"/>
        <w:rPr>
          <w:sz w:val="20"/>
          <w:szCs w:val="20"/>
          <w:color w:val="auto"/>
        </w:rPr>
      </w:pPr>
    </w:p>
    <w:p>
      <w:pPr>
        <w:ind w:left="640" w:hanging="38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76"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sz w:val="20"/>
          <w:szCs w:val="20"/>
          <w:color w:val="auto"/>
        </w:rPr>
      </w:pPr>
    </w:p>
    <w:p>
      <w:pPr>
        <w:ind w:left="640" w:hanging="38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sz w:val="20"/>
          <w:szCs w:val="20"/>
          <w:color w:val="auto"/>
        </w:rPr>
      </w:pPr>
    </w:p>
    <w:p>
      <w:pPr>
        <w:ind w:left="640" w:right="6920" w:hanging="387"/>
        <w:spacing w:after="0" w:line="355"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96,933,192</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96,933,192</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96,933,192</w:t>
      </w:r>
    </w:p>
    <w:p>
      <w:pPr>
        <w:ind w:left="640" w:hanging="4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45.5%</w:t>
      </w:r>
    </w:p>
    <w:p>
      <w:pPr>
        <w:ind w:left="640" w:right="6260" w:hanging="432"/>
        <w:spacing w:after="0" w:line="407"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73" w:lineRule="exact"/>
        <w:rPr>
          <w:sz w:val="20"/>
          <w:szCs w:val="20"/>
          <w:color w:val="auto"/>
        </w:rPr>
      </w:pPr>
    </w:p>
    <w:p>
      <w:pPr>
        <w:ind w:left="640" w:right="7820" w:hanging="387"/>
        <w:spacing w:after="0" w:line="282"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Refinitiv Parent Limited</w:t>
      </w:r>
    </w:p>
    <w:p>
      <w:pPr>
        <w:spacing w:after="0" w:line="67" w:lineRule="exact"/>
        <w:rPr>
          <w:sz w:val="20"/>
          <w:szCs w:val="20"/>
          <w:color w:val="auto"/>
        </w:rPr>
      </w:pPr>
    </w:p>
    <w:p>
      <w:pPr>
        <w:ind w:left="640" w:hanging="387"/>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76"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sz w:val="20"/>
          <w:szCs w:val="20"/>
          <w:color w:val="auto"/>
        </w:rPr>
      </w:pPr>
    </w:p>
    <w:p>
      <w:pPr>
        <w:ind w:left="640" w:hanging="38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sz w:val="20"/>
          <w:szCs w:val="20"/>
          <w:color w:val="auto"/>
        </w:rPr>
      </w:pPr>
    </w:p>
    <w:p>
      <w:pPr>
        <w:ind w:left="640" w:right="6920" w:hanging="387"/>
        <w:spacing w:after="0" w:line="355"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119,921,521</w:t>
      </w:r>
    </w:p>
    <w:p>
      <w:pPr>
        <w:ind w:left="640" w:hanging="4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50.8%</w:t>
      </w:r>
    </w:p>
    <w:p>
      <w:pPr>
        <w:ind w:left="640" w:right="6260" w:hanging="432"/>
        <w:spacing w:after="0" w:line="407"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14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614670"/>
                    </a:xfrm>
                    <a:prstGeom prst="rect">
                      <a:avLst/>
                    </a:prstGeom>
                    <a:noFill/>
                  </pic:spPr>
                </pic:pic>
              </a:graphicData>
            </a:graphic>
          </wp:anchor>
        </w:drawing>
      </w:r>
    </w:p>
    <w:p>
      <w:pPr>
        <w:spacing w:after="0" w:line="273" w:lineRule="exact"/>
        <w:rPr>
          <w:sz w:val="20"/>
          <w:szCs w:val="20"/>
          <w:color w:val="auto"/>
        </w:rPr>
      </w:pPr>
    </w:p>
    <w:p>
      <w:pPr>
        <w:ind w:left="640" w:right="7820" w:hanging="387"/>
        <w:spacing w:after="0" w:line="312" w:lineRule="auto"/>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London Stock Exchange Group plc</w:t>
      </w:r>
    </w:p>
    <w:p>
      <w:pPr>
        <w:spacing w:after="0" w:line="45" w:lineRule="exact"/>
        <w:rPr>
          <w:sz w:val="20"/>
          <w:szCs w:val="20"/>
          <w:color w:val="auto"/>
        </w:rPr>
      </w:pPr>
    </w:p>
    <w:p>
      <w:pPr>
        <w:ind w:left="640" w:hanging="38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76"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sz w:val="20"/>
          <w:szCs w:val="20"/>
          <w:color w:val="auto"/>
        </w:rPr>
      </w:pPr>
    </w:p>
    <w:p>
      <w:pPr>
        <w:ind w:left="640" w:hanging="387"/>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sz w:val="20"/>
          <w:szCs w:val="20"/>
          <w:color w:val="auto"/>
        </w:rPr>
      </w:pPr>
    </w:p>
    <w:p>
      <w:pPr>
        <w:ind w:left="640" w:right="6920" w:hanging="387"/>
        <w:spacing w:after="0" w:line="355"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England and Wales</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119,921,521</w:t>
      </w:r>
    </w:p>
    <w:p>
      <w:pPr>
        <w:ind w:left="640" w:hanging="4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76"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98"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50.8%</w:t>
      </w:r>
    </w:p>
    <w:p>
      <w:pPr>
        <w:ind w:left="640" w:right="6260" w:hanging="432"/>
        <w:spacing w:after="0" w:line="407"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Amendment No. 7 (this “Amendment No. 7”) amends and supplements the beneficial ownership statement on Schedule 13D originally filed on February 8, 2021 (the “Original Statement”), as amended by Amendment No. 1 (“Amendment No. 1”) filed on March 1, 2021, Amendment No. 2 (“Amendment No. 2”) filed on March 12, 2021, Amendment No. 3 (“Amendment No. 3”) filed on June 30, 2021, Amendment No. 4 (“Amendment No. 4”) filed on July 8, 2022, Amendment No. 5 (“Amendment No. 5”) filed on February 22, 2023 and Amendment No. 6 (“Amendment No. 6”) filed on January 3, 2024, on behalf of (i) Refinitiv US PME LLC, a Delaware limited liability company, (ii) Refinitiv US LLC, a Delaware limited liability company,</w:t>
      </w:r>
    </w:p>
    <w:p>
      <w:pPr>
        <w:spacing w:after="0" w:line="3" w:lineRule="exact"/>
        <w:rPr>
          <w:sz w:val="20"/>
          <w:szCs w:val="20"/>
          <w:color w:val="auto"/>
        </w:rPr>
      </w:pPr>
    </w:p>
    <w:p>
      <w:pPr>
        <w:jc w:val="both"/>
        <w:ind w:firstLine="8"/>
        <w:spacing w:after="0" w:line="251" w:lineRule="auto"/>
        <w:tabs>
          <w:tab w:leader="none" w:pos="3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LSEGA, Inc. a Delaware corporation, (iv) LSEG US Holdco, Inc., a Delaware corporation, (v) Refinitiv TW Holdings Ltd., a Cayman Islands exempted company, (vi) Refinitiv Parent Limited, a Cayman Islands exempted company, and (vii) London Stock Exchange Group plc, a public limited company organized in England and Wales. Each of the foregoing entities is hereinafter individually referred to as a “Reporting Person” and collectively as the “Reporting Persons.” The Original Statement, as amended by Amendment No. 1, Amendment No. 2, Amendment No. 3, Amendment No. 4, Amendment No. 5, Amendment No. 6 and this Amendment No. 7 (the “Schedule 13D”), relates to the Class A Common Stock, par value $0.00001 per share (the “Class A Common Stock”), of Tradeweb Markets Inc., a Delaware corporation (the “Issuer”). On December 31, 2023, as a result of an intragroup reorganization of the London Stock Exchange Group plc, LSEG US Holdco, Inc. became the sole shareholder of LSEGA, Inc. LSEG US Holdco, Inc. is a wholly-owned subsidiary of Refinitiv Parent Limited.</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terms used herein but not defined shall have the meanings ascribed to them in the Original Statement. This Amendment No. 7 amends the Schedule 13D as specifically set forth herein. Except as set forth on the cover pages hereto and as set forth below, all previous Items in the Schedule 13D remain unchanged.</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penultimate paragraph of Item 4 is hereby supplemented by adding the below disclosure immediately prior to the last sentence in such paragraph: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2024, Murray Roos resigned from the Board of the Issuer, effective June 10, 2024. On September 18, 2024, the Board of the Issuer appointed Daniel Maguire as a Class I director, effective September 18, 2024. Mr. Maguire will hold office until the annual meeting of the Issuer’s stockholders to be held in 2026 and until his successor shall be elected and qualified or until his earlier death, resignation, retirement, disqualification or removal. Mr. Maguire was designated to serve on the Board by Refinitiv Parent pursuant to the Stockholders Agreement.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two sentences of paragraphs (a) and (b) of Item 5 are hereby amended and restated as follows:</w:t>
      </w:r>
    </w:p>
    <w:p>
      <w:pPr>
        <w:spacing w:after="0" w:line="225" w:lineRule="exact"/>
        <w:rPr>
          <w:sz w:val="20"/>
          <w:szCs w:val="20"/>
          <w:color w:val="auto"/>
        </w:rPr>
      </w:pPr>
    </w:p>
    <w:p>
      <w:pPr>
        <w:jc w:val="both"/>
        <w:ind w:firstLine="8"/>
        <w:spacing w:after="0" w:line="258" w:lineRule="auto"/>
        <w:tabs>
          <w:tab w:leader="none" w:pos="25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Calculations of the percentage of shares of Class A Common Stock beneficially owned assume that 116,292,668 shares of Class A Common Stock were outstanding as of July 18, 2024, as reported in the Issuer’s Quarterly Report on Form 10-Q filed with the Securities and Exchange Commission on July 25, 2024, and also takes into account the shares of Class A Common Stock underlying any shares of Class B Common Stock or non-voting common units (the “LLC Interests”) of Tradeweb Markets LLC, a subsidiary of the Issuer, held by Reporting Persons, as applicable. Each of the Reporting Persons may be deemed to be the beneficial owner of the shares of Class A Common Stock listed on such Reporting Person’s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September 19,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REFINITIV US PME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Condron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18415</wp:posOffset>
            </wp:positionV>
            <wp:extent cx="3343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Lisa Condron as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REFINITIV US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Condron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18415</wp:posOffset>
            </wp:positionV>
            <wp:extent cx="3343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Lisa Condron as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LSEGA,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Condron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18415</wp:posOffset>
            </wp:positionV>
            <wp:extent cx="3343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Lisa Condron as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LSEG US HOLDCO,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Condron</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Lisa Condron as 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REFINITIV TW HOLDINGS LTD.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Condron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18415</wp:posOffset>
            </wp:positionV>
            <wp:extent cx="33432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Lisa Condron as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REFINITIV PARENT LIMITED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Condron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18415</wp:posOffset>
            </wp:positionV>
            <wp:extent cx="3343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Lisa Condron as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LONDON STOCK EXCHANGE GROUP PLC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Condron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18415</wp:posOffset>
            </wp:positionV>
            <wp:extent cx="33432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Lisa Condron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bullet"/>
      <w:start w:val="1"/>
    </w:lvl>
  </w:abstractNum>
  <w:abstractNum w:abstractNumId="2">
    <w:nsid w:val="8EDBDAB"/>
    <w:multiLevelType w:val="hybridMultilevel"/>
    <w:lvl w:ilvl="0">
      <w:lvlJc w:val="left"/>
      <w:lvlText w:val="2"/>
      <w:numFmt w:val="bullet"/>
      <w:start w:val="1"/>
    </w:lvl>
  </w:abstractNum>
  <w:abstractNum w:abstractNumId="3">
    <w:nsid w:val="79838CB2"/>
    <w:multiLevelType w:val="hybridMultilevel"/>
    <w:lvl w:ilvl="0">
      <w:lvlJc w:val="left"/>
      <w:lvlText w:val="3"/>
      <w:numFmt w:val="bullet"/>
      <w:start w:val="1"/>
    </w:lvl>
  </w:abstractNum>
  <w:abstractNum w:abstractNumId="4">
    <w:nsid w:val="4353D0CD"/>
    <w:multiLevelType w:val="hybridMultilevel"/>
    <w:lvl w:ilvl="0">
      <w:lvlJc w:val="left"/>
      <w:lvlText w:val="4"/>
      <w:numFmt w:val="bullet"/>
      <w:start w:val="1"/>
    </w:lvl>
  </w:abstractNum>
  <w:abstractNum w:abstractNumId="5">
    <w:nsid w:val="B03E0C6"/>
    <w:multiLevelType w:val="hybridMultilevel"/>
    <w:lvl w:ilvl="0">
      <w:lvlJc w:val="left"/>
      <w:lvlText w:val="5"/>
      <w:numFmt w:val="bullet"/>
      <w:start w:val="1"/>
    </w:lvl>
  </w:abstractNum>
  <w:abstractNum w:abstractNumId="6">
    <w:nsid w:val="189A769B"/>
    <w:multiLevelType w:val="hybridMultilevel"/>
    <w:lvl w:ilvl="0">
      <w:lvlJc w:val="left"/>
      <w:lvlText w:val="6"/>
      <w:numFmt w:val="bullet"/>
      <w:start w:val="1"/>
    </w:lvl>
  </w:abstractNum>
  <w:abstractNum w:abstractNumId="7">
    <w:nsid w:val="54E49EB4"/>
    <w:multiLevelType w:val="hybridMultilevel"/>
    <w:lvl w:ilvl="0">
      <w:lvlJc w:val="left"/>
      <w:lvlText w:val="%1"/>
      <w:numFmt w:val="decimal"/>
      <w:start w:val="11"/>
    </w:lvl>
  </w:abstractNum>
  <w:abstractNum w:abstractNumId="8">
    <w:nsid w:val="71F32454"/>
    <w:multiLevelType w:val="hybridMultilevel"/>
    <w:lvl w:ilvl="0">
      <w:lvlJc w:val="left"/>
      <w:lvlText w:val="1"/>
      <w:numFmt w:val="bullet"/>
      <w:start w:val="1"/>
    </w:lvl>
  </w:abstractNum>
  <w:abstractNum w:abstractNumId="9">
    <w:nsid w:val="2CA88611"/>
    <w:multiLevelType w:val="hybridMultilevel"/>
    <w:lvl w:ilvl="0">
      <w:lvlJc w:val="left"/>
      <w:lvlText w:val="2"/>
      <w:numFmt w:val="bullet"/>
      <w:start w:val="1"/>
    </w:lvl>
  </w:abstractNum>
  <w:abstractNum w:abstractNumId="10">
    <w:nsid w:val="836C40E"/>
    <w:multiLevelType w:val="hybridMultilevel"/>
    <w:lvl w:ilvl="0">
      <w:lvlJc w:val="left"/>
      <w:lvlText w:val="3"/>
      <w:numFmt w:val="bullet"/>
      <w:start w:val="1"/>
    </w:lvl>
  </w:abstractNum>
  <w:abstractNum w:abstractNumId="11">
    <w:nsid w:val="2901D82"/>
    <w:multiLevelType w:val="hybridMultilevel"/>
    <w:lvl w:ilvl="0">
      <w:lvlJc w:val="left"/>
      <w:lvlText w:val="4"/>
      <w:numFmt w:val="bullet"/>
      <w:start w:val="1"/>
    </w:lvl>
  </w:abstractNum>
  <w:abstractNum w:abstractNumId="12">
    <w:nsid w:val="3A95F874"/>
    <w:multiLevelType w:val="hybridMultilevel"/>
    <w:lvl w:ilvl="0">
      <w:lvlJc w:val="left"/>
      <w:lvlText w:val="5"/>
      <w:numFmt w:val="bullet"/>
      <w:start w:val="1"/>
    </w:lvl>
  </w:abstractNum>
  <w:abstractNum w:abstractNumId="13">
    <w:nsid w:val="8138641"/>
    <w:multiLevelType w:val="hybridMultilevel"/>
    <w:lvl w:ilvl="0">
      <w:lvlJc w:val="left"/>
      <w:lvlText w:val="6"/>
      <w:numFmt w:val="bullet"/>
      <w:start w:val="1"/>
    </w:lvl>
  </w:abstractNum>
  <w:abstractNum w:abstractNumId="14">
    <w:nsid w:val="1E7FF521"/>
    <w:multiLevelType w:val="hybridMultilevel"/>
    <w:lvl w:ilvl="0">
      <w:lvlJc w:val="left"/>
      <w:lvlText w:val="%1"/>
      <w:numFmt w:val="decimal"/>
      <w:start w:val="11"/>
    </w:lvl>
  </w:abstractNum>
  <w:abstractNum w:abstractNumId="15">
    <w:nsid w:val="7C3DBD3D"/>
    <w:multiLevelType w:val="hybridMultilevel"/>
    <w:lvl w:ilvl="0">
      <w:lvlJc w:val="left"/>
      <w:lvlText w:val="1"/>
      <w:numFmt w:val="bullet"/>
      <w:start w:val="1"/>
    </w:lvl>
  </w:abstractNum>
  <w:abstractNum w:abstractNumId="16">
    <w:nsid w:val="737B8DDC"/>
    <w:multiLevelType w:val="hybridMultilevel"/>
    <w:lvl w:ilvl="0">
      <w:lvlJc w:val="left"/>
      <w:lvlText w:val="2"/>
      <w:numFmt w:val="bullet"/>
      <w:start w:val="1"/>
    </w:lvl>
  </w:abstractNum>
  <w:abstractNum w:abstractNumId="17">
    <w:nsid w:val="6CEAF087"/>
    <w:multiLevelType w:val="hybridMultilevel"/>
    <w:lvl w:ilvl="0">
      <w:lvlJc w:val="left"/>
      <w:lvlText w:val="3"/>
      <w:numFmt w:val="bullet"/>
      <w:start w:val="1"/>
    </w:lvl>
  </w:abstractNum>
  <w:abstractNum w:abstractNumId="18">
    <w:nsid w:val="22221A70"/>
    <w:multiLevelType w:val="hybridMultilevel"/>
    <w:lvl w:ilvl="0">
      <w:lvlJc w:val="left"/>
      <w:lvlText w:val="4"/>
      <w:numFmt w:val="bullet"/>
      <w:start w:val="1"/>
    </w:lvl>
  </w:abstractNum>
  <w:abstractNum w:abstractNumId="19">
    <w:nsid w:val="4516DDE9"/>
    <w:multiLevelType w:val="hybridMultilevel"/>
    <w:lvl w:ilvl="0">
      <w:lvlJc w:val="left"/>
      <w:lvlText w:val="5"/>
      <w:numFmt w:val="bullet"/>
      <w:start w:val="1"/>
    </w:lvl>
  </w:abstractNum>
  <w:abstractNum w:abstractNumId="20">
    <w:nsid w:val="3006C83E"/>
    <w:multiLevelType w:val="hybridMultilevel"/>
    <w:lvl w:ilvl="0">
      <w:lvlJc w:val="left"/>
      <w:lvlText w:val="6"/>
      <w:numFmt w:val="bullet"/>
      <w:start w:val="1"/>
    </w:lvl>
  </w:abstractNum>
  <w:abstractNum w:abstractNumId="21">
    <w:nsid w:val="614FD4A1"/>
    <w:multiLevelType w:val="hybridMultilevel"/>
    <w:lvl w:ilvl="0">
      <w:lvlJc w:val="left"/>
      <w:lvlText w:val="%1"/>
      <w:numFmt w:val="decimal"/>
      <w:start w:val="11"/>
    </w:lvl>
  </w:abstractNum>
  <w:abstractNum w:abstractNumId="22">
    <w:nsid w:val="419AC241"/>
    <w:multiLevelType w:val="hybridMultilevel"/>
    <w:lvl w:ilvl="0">
      <w:lvlJc w:val="left"/>
      <w:lvlText w:val="%1"/>
      <w:numFmt w:val="decimal"/>
      <w:start w:val="11"/>
    </w:lvl>
  </w:abstractNum>
  <w:abstractNum w:abstractNumId="23">
    <w:nsid w:val="5577F8E1"/>
    <w:multiLevelType w:val="hybridMultilevel"/>
    <w:lvl w:ilvl="0">
      <w:lvlJc w:val="left"/>
      <w:lvlText w:val="1"/>
      <w:numFmt w:val="bullet"/>
      <w:start w:val="1"/>
    </w:lvl>
  </w:abstractNum>
  <w:abstractNum w:abstractNumId="24">
    <w:nsid w:val="440BADFC"/>
    <w:multiLevelType w:val="hybridMultilevel"/>
    <w:lvl w:ilvl="0">
      <w:lvlJc w:val="left"/>
      <w:lvlText w:val="2"/>
      <w:numFmt w:val="bullet"/>
      <w:start w:val="1"/>
    </w:lvl>
  </w:abstractNum>
  <w:abstractNum w:abstractNumId="25">
    <w:nsid w:val="5072367"/>
    <w:multiLevelType w:val="hybridMultilevel"/>
    <w:lvl w:ilvl="0">
      <w:lvlJc w:val="left"/>
      <w:lvlText w:val="3"/>
      <w:numFmt w:val="bullet"/>
      <w:start w:val="1"/>
    </w:lvl>
  </w:abstractNum>
  <w:abstractNum w:abstractNumId="26">
    <w:nsid w:val="3804823E"/>
    <w:multiLevelType w:val="hybridMultilevel"/>
    <w:lvl w:ilvl="0">
      <w:lvlJc w:val="left"/>
      <w:lvlText w:val="4"/>
      <w:numFmt w:val="bullet"/>
      <w:start w:val="1"/>
    </w:lvl>
  </w:abstractNum>
  <w:abstractNum w:abstractNumId="27">
    <w:nsid w:val="77465F01"/>
    <w:multiLevelType w:val="hybridMultilevel"/>
    <w:lvl w:ilvl="0">
      <w:lvlJc w:val="left"/>
      <w:lvlText w:val="5"/>
      <w:numFmt w:val="bullet"/>
      <w:start w:val="1"/>
    </w:lvl>
  </w:abstractNum>
  <w:abstractNum w:abstractNumId="28">
    <w:nsid w:val="7724C67E"/>
    <w:multiLevelType w:val="hybridMultilevel"/>
    <w:lvl w:ilvl="0">
      <w:lvlJc w:val="left"/>
      <w:lvlText w:val="6"/>
      <w:numFmt w:val="bullet"/>
      <w:start w:val="1"/>
    </w:lvl>
  </w:abstractNum>
  <w:abstractNum w:abstractNumId="29">
    <w:nsid w:val="5C482A97"/>
    <w:multiLevelType w:val="hybridMultilevel"/>
    <w:lvl w:ilvl="0">
      <w:lvlJc w:val="left"/>
      <w:lvlText w:val="%1"/>
      <w:numFmt w:val="decimal"/>
      <w:start w:val="11"/>
    </w:lvl>
  </w:abstractNum>
  <w:abstractNum w:abstractNumId="30">
    <w:nsid w:val="2463B9EA"/>
    <w:multiLevelType w:val="hybridMultilevel"/>
    <w:lvl w:ilvl="0">
      <w:lvlJc w:val="left"/>
      <w:lvlText w:val="1"/>
      <w:numFmt w:val="bullet"/>
      <w:start w:val="1"/>
    </w:lvl>
  </w:abstractNum>
  <w:abstractNum w:abstractNumId="31">
    <w:nsid w:val="5E884ADC"/>
    <w:multiLevelType w:val="hybridMultilevel"/>
    <w:lvl w:ilvl="0">
      <w:lvlJc w:val="left"/>
      <w:lvlText w:val="2"/>
      <w:numFmt w:val="bullet"/>
      <w:start w:val="1"/>
    </w:lvl>
  </w:abstractNum>
  <w:abstractNum w:abstractNumId="32">
    <w:nsid w:val="51EAD36B"/>
    <w:multiLevelType w:val="hybridMultilevel"/>
    <w:lvl w:ilvl="0">
      <w:lvlJc w:val="left"/>
      <w:lvlText w:val="3"/>
      <w:numFmt w:val="bullet"/>
      <w:start w:val="1"/>
    </w:lvl>
  </w:abstractNum>
  <w:abstractNum w:abstractNumId="33">
    <w:nsid w:val="2D517796"/>
    <w:multiLevelType w:val="hybridMultilevel"/>
    <w:lvl w:ilvl="0">
      <w:lvlJc w:val="left"/>
      <w:lvlText w:val="4"/>
      <w:numFmt w:val="bullet"/>
      <w:start w:val="1"/>
    </w:lvl>
  </w:abstractNum>
  <w:abstractNum w:abstractNumId="34">
    <w:nsid w:val="580BD78F"/>
    <w:multiLevelType w:val="hybridMultilevel"/>
    <w:lvl w:ilvl="0">
      <w:lvlJc w:val="left"/>
      <w:lvlText w:val="5"/>
      <w:numFmt w:val="bullet"/>
      <w:start w:val="1"/>
    </w:lvl>
  </w:abstractNum>
  <w:abstractNum w:abstractNumId="35">
    <w:nsid w:val="153EA438"/>
    <w:multiLevelType w:val="hybridMultilevel"/>
    <w:lvl w:ilvl="0">
      <w:lvlJc w:val="left"/>
      <w:lvlText w:val="6"/>
      <w:numFmt w:val="bullet"/>
      <w:start w:val="1"/>
    </w:lvl>
  </w:abstractNum>
  <w:abstractNum w:abstractNumId="36">
    <w:nsid w:val="3855585C"/>
    <w:multiLevelType w:val="hybridMultilevel"/>
    <w:lvl w:ilvl="0">
      <w:lvlJc w:val="left"/>
      <w:lvlText w:val="%1"/>
      <w:numFmt w:val="decimal"/>
      <w:start w:val="11"/>
    </w:lvl>
  </w:abstractNum>
  <w:abstractNum w:abstractNumId="37">
    <w:nsid w:val="70A64E2A"/>
    <w:multiLevelType w:val="hybridMultilevel"/>
    <w:lvl w:ilvl="0">
      <w:lvlJc w:val="left"/>
      <w:lvlText w:val="1"/>
      <w:numFmt w:val="bullet"/>
      <w:start w:val="1"/>
    </w:lvl>
  </w:abstractNum>
  <w:abstractNum w:abstractNumId="38">
    <w:nsid w:val="6A2342EC"/>
    <w:multiLevelType w:val="hybridMultilevel"/>
    <w:lvl w:ilvl="0">
      <w:lvlJc w:val="left"/>
      <w:lvlText w:val="2"/>
      <w:numFmt w:val="bullet"/>
      <w:start w:val="1"/>
    </w:lvl>
  </w:abstractNum>
  <w:abstractNum w:abstractNumId="39">
    <w:nsid w:val="2A487CB0"/>
    <w:multiLevelType w:val="hybridMultilevel"/>
    <w:lvl w:ilvl="0">
      <w:lvlJc w:val="left"/>
      <w:lvlText w:val="3"/>
      <w:numFmt w:val="bullet"/>
      <w:start w:val="1"/>
    </w:lvl>
  </w:abstractNum>
  <w:abstractNum w:abstractNumId="40">
    <w:nsid w:val="1D4ED43B"/>
    <w:multiLevelType w:val="hybridMultilevel"/>
    <w:lvl w:ilvl="0">
      <w:lvlJc w:val="left"/>
      <w:lvlText w:val="4"/>
      <w:numFmt w:val="bullet"/>
      <w:start w:val="1"/>
    </w:lvl>
  </w:abstractNum>
  <w:abstractNum w:abstractNumId="41">
    <w:nsid w:val="725A06FB"/>
    <w:multiLevelType w:val="hybridMultilevel"/>
    <w:lvl w:ilvl="0">
      <w:lvlJc w:val="left"/>
      <w:lvlText w:val="5"/>
      <w:numFmt w:val="bullet"/>
      <w:start w:val="1"/>
    </w:lvl>
  </w:abstractNum>
  <w:abstractNum w:abstractNumId="42">
    <w:nsid w:val="2CD89A32"/>
    <w:multiLevelType w:val="hybridMultilevel"/>
    <w:lvl w:ilvl="0">
      <w:lvlJc w:val="left"/>
      <w:lvlText w:val="6"/>
      <w:numFmt w:val="bullet"/>
      <w:start w:val="1"/>
    </w:lvl>
  </w:abstractNum>
  <w:abstractNum w:abstractNumId="43">
    <w:nsid w:val="57E4CCAF"/>
    <w:multiLevelType w:val="hybridMultilevel"/>
    <w:lvl w:ilvl="0">
      <w:lvlJc w:val="left"/>
      <w:lvlText w:val="%1"/>
      <w:numFmt w:val="decimal"/>
      <w:start w:val="11"/>
    </w:lvl>
  </w:abstractNum>
  <w:abstractNum w:abstractNumId="44">
    <w:nsid w:val="7A6D8D3C"/>
    <w:multiLevelType w:val="hybridMultilevel"/>
    <w:lvl w:ilvl="0">
      <w:lvlJc w:val="left"/>
      <w:lvlText w:val="(%1)"/>
      <w:numFmt w:val="lowerRoman"/>
      <w:start w:val="3"/>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2024-09-19T15:10:01Z</dcterms:created>
  <dcterms:modified xsi:type="dcterms:W3CDTF">2024-09-19T15:10:01Z</dcterms:modified>
</cp:coreProperties>
</file>