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9915260.xml.htm"/>
      <w:bookmarkStart w:id="1" w:name="kswkform4_16999152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Bruni Enrico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1177 AVENUE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Managing Director, Europe/Asia</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11/09/2023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4"/>
        <w:gridCol w:w="916"/>
        <w:gridCol w:w="785"/>
        <w:gridCol w:w="608"/>
        <w:gridCol w:w="348"/>
        <w:gridCol w:w="839"/>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11/09/2023</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1,672</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74,147</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11/09/2023</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93.0098</w:t>
            </w:r>
            <w:r>
              <w:rPr>
                <w:rFonts w:ascii="Times;serif" w:hAnsi="Times;serif"/>
                <w:color w:val="008000"/>
                <w:position w:val="7"/>
                <w:sz w:val="16"/>
                <w:sz w:val="20"/>
                <w:shd w:fill="FFFFFF" w:val="clear"/>
              </w:rPr>
              <w:t>(3)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71,647</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11/09/2023</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93.0112</w:t>
            </w:r>
            <w:r>
              <w:rPr>
                <w:rFonts w:ascii="Times;serif" w:hAnsi="Times;serif"/>
                <w:color w:val="008000"/>
                <w:position w:val="7"/>
                <w:sz w:val="16"/>
                <w:sz w:val="20"/>
                <w:shd w:fill="FFFFFF" w:val="clear"/>
              </w:rPr>
              <w:t>(4)</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69,147</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11/10/2023</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1,153</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67,994</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February 22,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amount includes (i) 3,146 unvested restricted stock units ("RSUs") in respect of the issuer's Class A Common Stock ("Class A Common Stock") which are scheduled to vest on March 15, 2024, (ii) 18,878 unvested RSUs in respect of Class A Common Stock which are scheduled to vest on January 1, 2024, (iii) 7,364 unvested RSUs in respect of Class A Common Stock which are scheduled to vest in equal installments on March 15, 2024 and March 15, 2025, (iv) 14,271 unvested RSUs in respect of Class A Common Stock that are scheduled to vest on January 1, 2025 and (v) 17,819 unvested RSUs in respect of Class A Common Stock which are scheduled to vest in equal installments on March 15, 2024, March 15, 2025 and March 15, 2026, in each case subject to the reporting person's continued employment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in Column 4 is a weighted average price. These shares were sold in multiple transactions at prices ranging from $93.00 to $93.06,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$93.00 to $93.06,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 Attorney-in-Fact for Enrico Bruni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71187" TargetMode="External"/><Relationship Id="rId4" Type="http://schemas.openxmlformats.org/officeDocument/2006/relationships/hyperlink" Target="http://www.sec.gov/cgi-bin/browse-edgar?action=getcompany&amp;CIK=000175873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870</Words>
  <Characters>4570</Characters>
  <CharactersWithSpaces>5358</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