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88"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Refinitiv US PME LLC</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Tradeweb Markets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88"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C/O REFINITIV, 3 TIMES SQUARE</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10036</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4"/>
          <w:szCs w:val="24"/>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88" w:gutter="0" w:footer="0" w:header="0"/>
          <w:type w:val="continuous"/>
        </w:sectPr>
      </w:pPr>
    </w:p>
    <w:p>
      <w:pPr>
        <w:spacing w:after="0" w:line="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2062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4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2060" w:type="dxa"/>
            <w:vAlign w:val="bottom"/>
          </w:tcPr>
          <w:p>
            <w:pPr>
              <w:ind w:left="6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20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 Ownership</w:t>
            </w: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1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20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5)</w:t>
            </w:r>
          </w:p>
        </w:tc>
        <w:tc>
          <w:tcPr>
            <w:tcW w:w="0" w:type="dxa"/>
            <w:vAlign w:val="bottom"/>
          </w:tcPr>
          <w:p>
            <w:pPr>
              <w:spacing w:after="0"/>
              <w:rPr>
                <w:sz w:val="1"/>
                <w:szCs w:val="1"/>
                <w:color w:val="auto"/>
              </w:rPr>
            </w:pPr>
          </w:p>
        </w:tc>
      </w:tr>
      <w:tr>
        <w:trPr>
          <w:trHeight w:val="91"/>
        </w:trPr>
        <w:tc>
          <w:tcPr>
            <w:tcW w:w="24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60" w:type="dxa"/>
            <w:vAlign w:val="bottom"/>
            <w:vMerge w:val="restart"/>
          </w:tcPr>
          <w:p>
            <w:pPr>
              <w:ind w:left="5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60" w:type="dxa"/>
            <w:vAlign w:val="bottom"/>
          </w:tcPr>
          <w:p>
            <w:pPr>
              <w:ind w:left="5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60" w:type="dxa"/>
            <w:vAlign w:val="bottom"/>
            <w:vMerge w:val="continue"/>
          </w:tcPr>
          <w:p>
            <w:pPr>
              <w:spacing w:after="0"/>
              <w:rPr>
                <w:sz w:val="18"/>
                <w:szCs w:val="18"/>
                <w:color w:val="auto"/>
              </w:rPr>
            </w:pPr>
          </w:p>
        </w:tc>
        <w:tc>
          <w:tcPr>
            <w:tcW w:w="1460" w:type="dxa"/>
            <w:vAlign w:val="bottom"/>
          </w:tcPr>
          <w:p>
            <w:pPr>
              <w:ind w:left="5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-8890</wp:posOffset>
            </wp:positionV>
            <wp:extent cx="6927850" cy="400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00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25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980" w:type="dxa"/>
            <w:vAlign w:val="bottom"/>
            <w:vMerge w:val="restart"/>
          </w:tcPr>
          <w:p>
            <w:pPr>
              <w:jc w:val="center"/>
              <w:ind w:right="227"/>
              <w:spacing w:after="0"/>
              <w:rPr>
                <w:sz w:val="20"/>
                <w:szCs w:val="20"/>
                <w:color w:val="auto"/>
              </w:rPr>
            </w:pPr>
            <w:r>
              <w:rPr>
                <w:rFonts w:ascii="Times New Roman" w:cs="Times New Roman" w:eastAsia="Times New Roman" w:hAnsi="Times New Roman"/>
                <w:sz w:val="13"/>
                <w:szCs w:val="13"/>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20"/>
                <w:szCs w:val="20"/>
                <w:color w:val="0000FF"/>
              </w:rPr>
              <w:t>96,933,192</w:t>
            </w: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color w:val="008000"/>
                <w:w w:val="92"/>
              </w:rPr>
              <w:t>(1)</w:t>
            </w:r>
          </w:p>
        </w:tc>
        <w:tc>
          <w:tcPr>
            <w:tcW w:w="7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I</w:t>
            </w:r>
          </w:p>
        </w:tc>
        <w:tc>
          <w:tcPr>
            <w:tcW w:w="2260" w:type="dxa"/>
            <w:vAlign w:val="bottom"/>
            <w:gridSpan w:val="2"/>
          </w:tcPr>
          <w:p>
            <w:pPr>
              <w:ind w:left="240"/>
              <w:spacing w:after="0" w:line="284" w:lineRule="exact"/>
              <w:rPr>
                <w:sz w:val="20"/>
                <w:szCs w:val="20"/>
                <w:color w:val="auto"/>
              </w:rPr>
            </w:pPr>
            <w:r>
              <w:rPr>
                <w:rFonts w:ascii="Times New Roman" w:cs="Times New Roman" w:eastAsia="Times New Roman" w:hAnsi="Times New Roman"/>
                <w:sz w:val="32"/>
                <w:szCs w:val="32"/>
                <w:color w:val="0000FF"/>
                <w:vertAlign w:val="subscript"/>
              </w:rPr>
              <w:t>See Footnotes</w:t>
            </w:r>
            <w:r>
              <w:rPr>
                <w:rFonts w:ascii="Times New Roman" w:cs="Times New Roman" w:eastAsia="Times New Roman" w:hAnsi="Times New Roman"/>
                <w:sz w:val="11"/>
                <w:szCs w:val="11"/>
                <w:color w:val="008000"/>
              </w:rPr>
              <w:t>(4)(6)(7)(8)(9)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11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2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8000"/>
              </w:rPr>
              <w:t>(10)(11)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Class D Common Stock</w:t>
            </w:r>
          </w:p>
        </w:tc>
        <w:tc>
          <w:tcPr>
            <w:tcW w:w="980" w:type="dxa"/>
            <w:vAlign w:val="bottom"/>
            <w:vMerge w:val="restart"/>
          </w:tcPr>
          <w:p>
            <w:pPr>
              <w:jc w:val="center"/>
              <w:ind w:right="227"/>
              <w:spacing w:after="0"/>
              <w:rPr>
                <w:sz w:val="20"/>
                <w:szCs w:val="20"/>
                <w:color w:val="auto"/>
              </w:rPr>
            </w:pPr>
            <w:r>
              <w:rPr>
                <w:rFonts w:ascii="Times New Roman" w:cs="Times New Roman" w:eastAsia="Times New Roman" w:hAnsi="Times New Roman"/>
                <w:sz w:val="13"/>
                <w:szCs w:val="13"/>
                <w:color w:val="008000"/>
                <w:w w:val="92"/>
              </w:rPr>
              <w:t>(2)(3)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(2)(3)</w:t>
            </w:r>
          </w:p>
        </w:tc>
        <w:tc>
          <w:tcPr>
            <w:tcW w:w="1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C Common</w:t>
            </w: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20"/>
                <w:szCs w:val="20"/>
                <w:color w:val="0000FF"/>
              </w:rPr>
              <w:t>22,988,329</w:t>
            </w: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color w:val="008000"/>
                <w:w w:val="98"/>
              </w:rPr>
              <w:t>(2)(3)</w:t>
            </w:r>
          </w:p>
        </w:tc>
        <w:tc>
          <w:tcPr>
            <w:tcW w:w="7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I</w:t>
            </w:r>
          </w:p>
        </w:tc>
        <w:tc>
          <w:tcPr>
            <w:tcW w:w="2260" w:type="dxa"/>
            <w:vAlign w:val="bottom"/>
            <w:gridSpan w:val="2"/>
          </w:tcPr>
          <w:p>
            <w:pPr>
              <w:ind w:left="240"/>
              <w:spacing w:after="0" w:line="284" w:lineRule="exact"/>
              <w:rPr>
                <w:sz w:val="20"/>
                <w:szCs w:val="20"/>
                <w:color w:val="auto"/>
              </w:rPr>
            </w:pPr>
            <w:r>
              <w:rPr>
                <w:rFonts w:ascii="Times New Roman" w:cs="Times New Roman" w:eastAsia="Times New Roman" w:hAnsi="Times New Roman"/>
                <w:sz w:val="32"/>
                <w:szCs w:val="32"/>
                <w:color w:val="0000FF"/>
                <w:vertAlign w:val="subscript"/>
              </w:rPr>
              <w:t>See Footnotes</w:t>
            </w:r>
            <w:r>
              <w:rPr>
                <w:rFonts w:ascii="Times New Roman" w:cs="Times New Roman" w:eastAsia="Times New Roman" w:hAnsi="Times New Roman"/>
                <w:sz w:val="11"/>
                <w:szCs w:val="11"/>
                <w:color w:val="008000"/>
              </w:rPr>
              <w:t>(5)(6)(7)(8)(9)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11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2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8000"/>
              </w:rPr>
              <w:t>(10)(11)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gridSpan w:val="2"/>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Non-voting common units of</w:t>
            </w:r>
          </w:p>
        </w:tc>
        <w:tc>
          <w:tcPr>
            <w:tcW w:w="980" w:type="dxa"/>
            <w:vAlign w:val="bottom"/>
            <w:vMerge w:val="restart"/>
          </w:tcPr>
          <w:p>
            <w:pPr>
              <w:jc w:val="center"/>
              <w:ind w:right="227"/>
              <w:spacing w:after="0"/>
              <w:rPr>
                <w:sz w:val="20"/>
                <w:szCs w:val="20"/>
                <w:color w:val="auto"/>
              </w:rPr>
            </w:pPr>
            <w:r>
              <w:rPr>
                <w:rFonts w:ascii="Times New Roman" w:cs="Times New Roman" w:eastAsia="Times New Roman" w:hAnsi="Times New Roman"/>
                <w:sz w:val="13"/>
                <w:szCs w:val="13"/>
                <w:color w:val="008000"/>
              </w:rPr>
              <w:t>(3)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180" w:type="dxa"/>
            <w:vAlign w:val="bottom"/>
            <w:vMerge w:val="restart"/>
          </w:tcPr>
          <w:p>
            <w:pPr>
              <w:jc w:val="right"/>
              <w:ind w:right="102"/>
              <w:spacing w:after="0"/>
              <w:rPr>
                <w:sz w:val="20"/>
                <w:szCs w:val="20"/>
                <w:color w:val="auto"/>
              </w:rPr>
            </w:pPr>
            <w:r>
              <w:rPr>
                <w:rFonts w:ascii="Times New Roman" w:cs="Times New Roman" w:eastAsia="Times New Roman" w:hAnsi="Times New Roman"/>
                <w:sz w:val="20"/>
                <w:szCs w:val="20"/>
                <w:color w:val="0000FF"/>
              </w:rPr>
              <w:t>22,988,329</w:t>
            </w: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color w:val="008000"/>
                <w:w w:val="92"/>
              </w:rPr>
              <w:t>(3)</w:t>
            </w:r>
          </w:p>
        </w:tc>
        <w:tc>
          <w:tcPr>
            <w:tcW w:w="7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I</w:t>
            </w:r>
          </w:p>
        </w:tc>
        <w:tc>
          <w:tcPr>
            <w:tcW w:w="2260" w:type="dxa"/>
            <w:vAlign w:val="bottom"/>
            <w:gridSpan w:val="2"/>
          </w:tcPr>
          <w:p>
            <w:pPr>
              <w:ind w:left="240"/>
              <w:spacing w:after="0" w:line="284" w:lineRule="exact"/>
              <w:rPr>
                <w:sz w:val="20"/>
                <w:szCs w:val="20"/>
                <w:color w:val="auto"/>
              </w:rPr>
            </w:pPr>
            <w:r>
              <w:rPr>
                <w:rFonts w:ascii="Times New Roman" w:cs="Times New Roman" w:eastAsia="Times New Roman" w:hAnsi="Times New Roman"/>
                <w:sz w:val="32"/>
                <w:szCs w:val="32"/>
                <w:color w:val="0000FF"/>
                <w:vertAlign w:val="subscript"/>
              </w:rPr>
              <w:t>See Footnotes</w:t>
            </w:r>
            <w:r>
              <w:rPr>
                <w:rFonts w:ascii="Times New Roman" w:cs="Times New Roman" w:eastAsia="Times New Roman" w:hAnsi="Times New Roman"/>
                <w:sz w:val="11"/>
                <w:szCs w:val="11"/>
                <w:color w:val="008000"/>
              </w:rPr>
              <w:t>(5)(6)(7)(8)(9)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Tradeweb Markets LLC</w:t>
            </w:r>
          </w:p>
        </w:tc>
        <w:tc>
          <w:tcPr>
            <w:tcW w:w="9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restart"/>
          </w:tcPr>
          <w:p>
            <w:pPr>
              <w:jc w:val="center"/>
              <w:spacing w:after="0" w:line="316" w:lineRule="exact"/>
              <w:rPr>
                <w:sz w:val="20"/>
                <w:szCs w:val="20"/>
                <w:color w:val="auto"/>
              </w:rPr>
            </w:pPr>
            <w:r>
              <w:rPr>
                <w:rFonts w:ascii="Times New Roman" w:cs="Times New Roman" w:eastAsia="Times New Roman" w:hAnsi="Times New Roman"/>
                <w:sz w:val="36"/>
                <w:szCs w:val="36"/>
                <w:color w:val="0000FF"/>
                <w:w w:val="89"/>
                <w:vertAlign w:val="subscript"/>
              </w:rPr>
              <w:t>Stock</w:t>
            </w:r>
            <w:r>
              <w:rPr>
                <w:rFonts w:ascii="Times New Roman" w:cs="Times New Roman" w:eastAsia="Times New Roman" w:hAnsi="Times New Roman"/>
                <w:sz w:val="12"/>
                <w:szCs w:val="12"/>
                <w:color w:val="008000"/>
                <w:w w:val="89"/>
              </w:rPr>
              <w:t>(2)(3)</w:t>
            </w:r>
          </w:p>
        </w:tc>
        <w:tc>
          <w:tcPr>
            <w:tcW w:w="11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2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8000"/>
              </w:rPr>
              <w:t>(10)(11)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580" w:type="dxa"/>
            <w:vAlign w:val="bottom"/>
            <w:tcBorders>
              <w:bottom w:val="single" w:sz="8" w:color="2C2C2C"/>
            </w:tcBorders>
            <w:gridSpan w:val="3"/>
            <w:vMerge w:val="continue"/>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520" w:type="dxa"/>
            <w:vAlign w:val="bottom"/>
            <w:tcBorders>
              <w:bottom w:val="single" w:sz="8" w:color="2C2C2C"/>
            </w:tcBorders>
            <w:vMerge w:val="continue"/>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240" w:type="dxa"/>
            <w:vAlign w:val="bottom"/>
            <w:tcBorders>
              <w:bottom w:val="single" w:sz="8" w:color="2C2C2C"/>
            </w:tcBorders>
            <w:vMerge w:val="continue"/>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560" w:type="dxa"/>
            <w:vAlign w:val="bottom"/>
            <w:tcBorders>
              <w:top w:val="single" w:sz="8" w:color="2C2C2C"/>
            </w:tcBorders>
            <w:gridSpan w:val="4"/>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6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Refinitiv US PME LLC</w:t>
              </w:r>
            </w:hyperlink>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60" w:type="dxa"/>
            <w:vAlign w:val="bottom"/>
          </w:tcPr>
          <w:p>
            <w:pPr>
              <w:ind w:left="180"/>
              <w:spacing w:after="0"/>
              <w:rPr>
                <w:sz w:val="20"/>
                <w:szCs w:val="20"/>
                <w:color w:val="auto"/>
              </w:rPr>
            </w:pPr>
            <w:r>
              <w:rPr>
                <w:rFonts w:ascii="Arial" w:cs="Arial" w:eastAsia="Arial" w:hAnsi="Arial"/>
                <w:sz w:val="15"/>
                <w:szCs w:val="15"/>
                <w:color w:val="auto"/>
              </w:rPr>
              <w:t>(First)</w:t>
            </w:r>
          </w:p>
        </w:tc>
        <w:tc>
          <w:tcPr>
            <w:tcW w:w="980" w:type="dxa"/>
            <w:vAlign w:val="bottom"/>
          </w:tcPr>
          <w:p>
            <w:pPr>
              <w:ind w:left="300"/>
              <w:spacing w:after="0"/>
              <w:rPr>
                <w:sz w:val="20"/>
                <w:szCs w:val="20"/>
                <w:color w:val="auto"/>
              </w:rPr>
            </w:pPr>
            <w:r>
              <w:rPr>
                <w:rFonts w:ascii="Arial" w:cs="Arial" w:eastAsia="Arial" w:hAnsi="Arial"/>
                <w:sz w:val="15"/>
                <w:szCs w:val="15"/>
                <w:color w:val="auto"/>
              </w:rPr>
              <w:t>(Middle)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C/O REFINITIV, 3 TIMES SQUARE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98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10036</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60" w:type="dxa"/>
            <w:vAlign w:val="bottom"/>
          </w:tcPr>
          <w:p>
            <w:pPr>
              <w:ind w:left="180"/>
              <w:spacing w:after="0"/>
              <w:rPr>
                <w:sz w:val="20"/>
                <w:szCs w:val="20"/>
                <w:color w:val="auto"/>
              </w:rPr>
            </w:pPr>
            <w:r>
              <w:rPr>
                <w:rFonts w:ascii="Arial" w:cs="Arial" w:eastAsia="Arial" w:hAnsi="Arial"/>
                <w:sz w:val="15"/>
                <w:szCs w:val="15"/>
                <w:color w:val="auto"/>
              </w:rPr>
              <w:t>(State)</w:t>
            </w:r>
          </w:p>
        </w:tc>
        <w:tc>
          <w:tcPr>
            <w:tcW w:w="980" w:type="dxa"/>
            <w:vAlign w:val="bottom"/>
          </w:tcPr>
          <w:p>
            <w:pPr>
              <w:ind w:left="300"/>
              <w:spacing w:after="0"/>
              <w:rPr>
                <w:sz w:val="20"/>
                <w:szCs w:val="20"/>
                <w:color w:val="auto"/>
              </w:rPr>
            </w:pPr>
            <w:r>
              <w:rPr>
                <w:rFonts w:ascii="Arial" w:cs="Arial" w:eastAsia="Arial" w:hAnsi="Arial"/>
                <w:sz w:val="15"/>
                <w:szCs w:val="15"/>
                <w:color w:val="auto"/>
              </w:rPr>
              <w:t>(Zip)</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560" w:type="dxa"/>
            <w:vAlign w:val="bottom"/>
            <w:gridSpan w:val="4"/>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Refinitiv US LLC</w:t>
              </w:r>
            </w:hyperlink>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60" w:type="dxa"/>
            <w:vAlign w:val="bottom"/>
          </w:tcPr>
          <w:p>
            <w:pPr>
              <w:ind w:left="180"/>
              <w:spacing w:after="0"/>
              <w:rPr>
                <w:sz w:val="20"/>
                <w:szCs w:val="20"/>
                <w:color w:val="auto"/>
              </w:rPr>
            </w:pPr>
            <w:r>
              <w:rPr>
                <w:rFonts w:ascii="Arial" w:cs="Arial" w:eastAsia="Arial" w:hAnsi="Arial"/>
                <w:sz w:val="15"/>
                <w:szCs w:val="15"/>
                <w:color w:val="auto"/>
              </w:rPr>
              <w:t>(First)</w:t>
            </w:r>
          </w:p>
        </w:tc>
        <w:tc>
          <w:tcPr>
            <w:tcW w:w="980" w:type="dxa"/>
            <w:vAlign w:val="bottom"/>
          </w:tcPr>
          <w:p>
            <w:pPr>
              <w:ind w:left="300"/>
              <w:spacing w:after="0"/>
              <w:rPr>
                <w:sz w:val="20"/>
                <w:szCs w:val="20"/>
                <w:color w:val="auto"/>
              </w:rPr>
            </w:pPr>
            <w:r>
              <w:rPr>
                <w:rFonts w:ascii="Arial" w:cs="Arial" w:eastAsia="Arial" w:hAnsi="Arial"/>
                <w:sz w:val="15"/>
                <w:szCs w:val="15"/>
                <w:color w:val="auto"/>
              </w:rPr>
              <w:t>(Middle)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-3402965</wp:posOffset>
            </wp:positionV>
            <wp:extent cx="6937375" cy="4440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6937375" cy="4440555"/>
                    </a:xfrm>
                    <a:prstGeom prst="rect">
                      <a:avLst/>
                    </a:prstGeom>
                    <a:noFill/>
                  </pic:spPr>
                </pic:pic>
              </a:graphicData>
            </a:graphic>
          </wp:anchor>
        </w:drawing>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REFINITIV, 3 TIMES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159385</wp:posOffset>
            </wp:positionV>
            <wp:extent cx="262064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6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88" w:gutter="0" w:footer="0" w:header="0"/>
          <w:type w:val="continuous"/>
        </w:sectPr>
      </w:pPr>
    </w:p>
    <w:p>
      <w:pPr>
        <w:spacing w:after="0" w:line="41" w:lineRule="exact"/>
        <w:rPr>
          <w:sz w:val="20"/>
          <w:szCs w:val="20"/>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NEW YORK</w:t>
      </w:r>
      <w:r>
        <w:rPr>
          <w:sz w:val="20"/>
          <w:szCs w:val="20"/>
          <w:color w:val="auto"/>
        </w:rPr>
        <w:tab/>
      </w:r>
      <w:r>
        <w:rPr>
          <w:rFonts w:ascii="Times New Roman" w:cs="Times New Roman" w:eastAsia="Times New Roman" w:hAnsi="Times New Roman"/>
          <w:sz w:val="20"/>
          <w:szCs w:val="20"/>
          <w:color w:val="0000FF"/>
        </w:rPr>
        <w:t>NY</w:t>
      </w:r>
      <w:r>
        <w:rPr>
          <w:sz w:val="20"/>
          <w:szCs w:val="20"/>
          <w:color w:val="auto"/>
        </w:rPr>
        <w:tab/>
      </w:r>
      <w:r>
        <w:rPr>
          <w:rFonts w:ascii="Times New Roman" w:cs="Times New Roman" w:eastAsia="Times New Roman" w:hAnsi="Times New Roman"/>
          <w:sz w:val="18"/>
          <w:szCs w:val="18"/>
          <w:color w:val="0000FF"/>
        </w:rPr>
        <w:t>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121285</wp:posOffset>
            </wp:positionV>
            <wp:extent cx="262064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ectPr>
          <w:pgSz w:w="11900" w:h="16838" w:orient="portrait"/>
          <w:cols w:equalWidth="0" w:num="1">
            <w:col w:w="10940"/>
          </w:cols>
          <w:pgMar w:left="480" w:top="230" w:right="479" w:bottom="88" w:gutter="0" w:footer="0" w:header="0"/>
          <w:type w:val="continuous"/>
        </w:sectPr>
      </w:pPr>
    </w:p>
    <w:bookmarkStart w:id="1" w:name="page2"/>
    <w:bookmarkEnd w:id="1"/>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340" w:type="dxa"/>
            <w:vAlign w:val="bottom"/>
          </w:tcPr>
          <w:p>
            <w:pPr>
              <w:ind w:left="20"/>
              <w:spacing w:after="0"/>
              <w:rPr>
                <w:sz w:val="20"/>
                <w:szCs w:val="20"/>
                <w:color w:val="auto"/>
              </w:rPr>
            </w:pPr>
            <w:r>
              <w:rPr>
                <w:rFonts w:ascii="Arial" w:cs="Arial" w:eastAsia="Arial" w:hAnsi="Arial"/>
                <w:sz w:val="15"/>
                <w:szCs w:val="15"/>
                <w:color w:val="auto"/>
              </w:rPr>
              <w:t>(City)</w:t>
            </w:r>
          </w:p>
        </w:tc>
        <w:tc>
          <w:tcPr>
            <w:tcW w:w="1400" w:type="dxa"/>
            <w:vAlign w:val="bottom"/>
          </w:tcPr>
          <w:p>
            <w:pPr>
              <w:ind w:left="6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1340" w:type="dxa"/>
            <w:vAlign w:val="bottom"/>
          </w:tcPr>
          <w:p>
            <w:pPr>
              <w:ind w:left="2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LSEGA, Inc.</w:t>
              </w:r>
            </w:hyperlink>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60"/>
              <w:spacing w:after="0"/>
              <w:rPr>
                <w:sz w:val="20"/>
                <w:szCs w:val="20"/>
                <w:color w:val="auto"/>
              </w:rPr>
            </w:pPr>
            <w:r>
              <w:rPr>
                <w:rFonts w:ascii="Arial" w:cs="Arial" w:eastAsia="Arial" w:hAnsi="Arial"/>
                <w:sz w:val="15"/>
                <w:szCs w:val="15"/>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28 LIBERTY PLACE, 58TH FLOOR</w:t>
            </w:r>
          </w:p>
        </w:tc>
      </w:tr>
      <w:tr>
        <w:trPr>
          <w:trHeight w:val="237"/>
        </w:trPr>
        <w:tc>
          <w:tcPr>
            <w:tcW w:w="100" w:type="dxa"/>
            <w:vAlign w:val="bottom"/>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40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NY</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10005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5"/>
                <w:szCs w:val="15"/>
                <w:color w:val="auto"/>
              </w:rPr>
              <w:t>(City)</w:t>
            </w:r>
          </w:p>
        </w:tc>
        <w:tc>
          <w:tcPr>
            <w:tcW w:w="1400" w:type="dxa"/>
            <w:vAlign w:val="bottom"/>
          </w:tcPr>
          <w:p>
            <w:pPr>
              <w:ind w:left="6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74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Refinitiv TW Holdings Ltd.</w:t>
              </w:r>
            </w:hyperlink>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60"/>
              <w:spacing w:after="0"/>
              <w:rPr>
                <w:sz w:val="20"/>
                <w:szCs w:val="20"/>
                <w:color w:val="auto"/>
              </w:rPr>
            </w:pPr>
            <w:r>
              <w:rPr>
                <w:rFonts w:ascii="Arial" w:cs="Arial" w:eastAsia="Arial" w:hAnsi="Arial"/>
                <w:sz w:val="15"/>
                <w:szCs w:val="15"/>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-2764790</wp:posOffset>
            </wp:positionV>
            <wp:extent cx="2773045" cy="762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773045" cy="762317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FIVE CANADA SQUARE, CANARY WHARF</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LONDON</w:t>
            </w:r>
          </w:p>
        </w:tc>
        <w:tc>
          <w:tcPr>
            <w:tcW w:w="12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X0</w:t>
            </w:r>
          </w:p>
        </w:tc>
        <w:tc>
          <w:tcPr>
            <w:tcW w:w="18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0000FF"/>
              </w:rPr>
              <w:t>E14 5AQ</w:t>
            </w:r>
          </w:p>
        </w:tc>
      </w:tr>
      <w:tr>
        <w:trPr>
          <w:trHeight w:val="177"/>
        </w:trPr>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240" w:type="dxa"/>
            <w:vAlign w:val="bottom"/>
          </w:tcPr>
          <w:p>
            <w:pPr>
              <w:ind w:left="280"/>
              <w:spacing w:after="0"/>
              <w:rPr>
                <w:sz w:val="20"/>
                <w:szCs w:val="20"/>
                <w:color w:val="auto"/>
              </w:rPr>
            </w:pPr>
            <w:r>
              <w:rPr>
                <w:rFonts w:ascii="Arial" w:cs="Arial" w:eastAsia="Arial" w:hAnsi="Arial"/>
                <w:sz w:val="15"/>
                <w:szCs w:val="15"/>
                <w:color w:val="auto"/>
              </w:rPr>
              <w:t>(State)</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36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3">
              <w:r>
                <w:rPr>
                  <w:rFonts w:ascii="Times New Roman" w:cs="Times New Roman" w:eastAsia="Times New Roman" w:hAnsi="Times New Roman"/>
                  <w:sz w:val="24"/>
                  <w:szCs w:val="24"/>
                  <w:u w:val="single" w:color="auto"/>
                  <w:color w:val="0000EE"/>
                </w:rPr>
                <w:t>Refinitiv Parent Ltd</w:t>
              </w:r>
            </w:hyperlink>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(Last)</w:t>
            </w:r>
          </w:p>
        </w:tc>
        <w:tc>
          <w:tcPr>
            <w:tcW w:w="1240" w:type="dxa"/>
            <w:vAlign w:val="bottom"/>
          </w:tcPr>
          <w:p>
            <w:pPr>
              <w:ind w:left="280"/>
              <w:spacing w:after="0"/>
              <w:rPr>
                <w:sz w:val="20"/>
                <w:szCs w:val="20"/>
                <w:color w:val="auto"/>
              </w:rPr>
            </w:pPr>
            <w:r>
              <w:rPr>
                <w:rFonts w:ascii="Arial" w:cs="Arial" w:eastAsia="Arial" w:hAnsi="Arial"/>
                <w:sz w:val="15"/>
                <w:szCs w:val="15"/>
                <w:color w:val="auto"/>
              </w:rPr>
              <w:t>(First)</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FIVE CANADA SQUARE, CANARY WHARF</w:t>
      </w:r>
    </w:p>
    <w:p>
      <w:pPr>
        <w:spacing w:after="0" w:line="382"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11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LONDON</w:t>
            </w:r>
          </w:p>
        </w:tc>
        <w:tc>
          <w:tcPr>
            <w:tcW w:w="120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X0</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E14 5AQ</w:t>
            </w:r>
          </w:p>
        </w:tc>
      </w:tr>
      <w:tr>
        <w:trPr>
          <w:trHeight w:val="177"/>
        </w:trPr>
        <w:tc>
          <w:tcPr>
            <w:tcW w:w="2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24">
        <w:r>
          <w:rPr>
            <w:rFonts w:ascii="Times New Roman" w:cs="Times New Roman" w:eastAsia="Times New Roman" w:hAnsi="Times New Roman"/>
            <w:sz w:val="24"/>
            <w:szCs w:val="24"/>
            <w:u w:val="single" w:color="auto"/>
            <w:color w:val="0000EE"/>
          </w:rPr>
          <w:t>London Stock Exchange Group plc</w:t>
        </w:r>
      </w:hyperlink>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(Last)</w:t>
            </w:r>
          </w:p>
        </w:tc>
        <w:tc>
          <w:tcPr>
            <w:tcW w:w="1480" w:type="dxa"/>
            <w:vAlign w:val="bottom"/>
          </w:tcPr>
          <w:p>
            <w:pPr>
              <w:ind w:left="280"/>
              <w:spacing w:after="0"/>
              <w:rPr>
                <w:sz w:val="20"/>
                <w:szCs w:val="20"/>
                <w:color w:val="auto"/>
              </w:rPr>
            </w:pPr>
            <w:r>
              <w:rPr>
                <w:rFonts w:ascii="Arial" w:cs="Arial" w:eastAsia="Arial" w:hAnsi="Arial"/>
                <w:sz w:val="15"/>
                <w:szCs w:val="15"/>
                <w:color w:val="auto"/>
              </w:rPr>
              <w:t>(First)</w:t>
            </w:r>
          </w:p>
        </w:tc>
        <w:tc>
          <w:tcPr>
            <w:tcW w:w="1520" w:type="dxa"/>
            <w:vAlign w:val="bottom"/>
          </w:tcPr>
          <w:p>
            <w:pPr>
              <w:ind w:left="18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10 PATERNOSTER SQUARE</w:t>
            </w:r>
          </w:p>
        </w:tc>
        <w:tc>
          <w:tcPr>
            <w:tcW w:w="15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48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r>
      <w:tr>
        <w:trPr>
          <w:trHeight w:val="303"/>
        </w:trPr>
        <w:tc>
          <w:tcPr>
            <w:tcW w:w="11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LONDON</w:t>
            </w:r>
          </w:p>
        </w:tc>
        <w:tc>
          <w:tcPr>
            <w:tcW w:w="14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X0</w:t>
            </w: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EC4M 7LS</w:t>
            </w:r>
          </w:p>
        </w:tc>
      </w:tr>
      <w:tr>
        <w:trPr>
          <w:trHeight w:val="177"/>
        </w:trPr>
        <w:tc>
          <w:tcPr>
            <w:tcW w:w="2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480" w:type="dxa"/>
            <w:vAlign w:val="bottom"/>
          </w:tcPr>
          <w:p>
            <w:pPr>
              <w:ind w:left="280"/>
              <w:spacing w:after="0"/>
              <w:rPr>
                <w:sz w:val="20"/>
                <w:szCs w:val="20"/>
                <w:color w:val="auto"/>
              </w:rPr>
            </w:pPr>
            <w:r>
              <w:rPr>
                <w:rFonts w:ascii="Arial" w:cs="Arial" w:eastAsia="Arial" w:hAnsi="Arial"/>
                <w:sz w:val="15"/>
                <w:szCs w:val="15"/>
                <w:color w:val="auto"/>
              </w:rPr>
              <w:t>(State)</w:t>
            </w:r>
          </w:p>
        </w:tc>
        <w:tc>
          <w:tcPr>
            <w:tcW w:w="1520" w:type="dxa"/>
            <w:vAlign w:val="bottom"/>
          </w:tcPr>
          <w:p>
            <w:pPr>
              <w:ind w:left="18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20" w:right="12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ten votes per share and are exchangeable for shares of the Issuer's Class A common stock ("Class A Common Stock") on a one-for-one basis at the discretion of the holder. These exchange rights do not expire.</w:t>
      </w:r>
    </w:p>
    <w:p>
      <w:pPr>
        <w:spacing w:after="0" w:line="17" w:lineRule="exact"/>
        <w:rPr>
          <w:rFonts w:ascii="Times New Roman" w:cs="Times New Roman" w:eastAsia="Times New Roman" w:hAnsi="Times New Roman"/>
          <w:sz w:val="15"/>
          <w:szCs w:val="15"/>
          <w:color w:val="008000"/>
        </w:rPr>
      </w:pPr>
    </w:p>
    <w:p>
      <w:pPr>
        <w:ind w:left="20" w:right="14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Class D common stock of the Issuer ("Class D Common Stock") have ten votes per share but no economic rights (including rights to dividends or, other than their par value, distributions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33" w:lineRule="exact"/>
        <w:rPr>
          <w:rFonts w:ascii="Times New Roman" w:cs="Times New Roman" w:eastAsia="Times New Roman" w:hAnsi="Times New Roman"/>
          <w:sz w:val="15"/>
          <w:szCs w:val="15"/>
          <w:color w:val="008000"/>
        </w:rPr>
      </w:pPr>
    </w:p>
    <w:p>
      <w:pPr>
        <w:ind w:left="20" w:right="40" w:firstLine="5"/>
        <w:spacing w:after="0" w:line="270" w:lineRule="auto"/>
        <w:tabs>
          <w:tab w:leader="none" w:pos="17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the terms of the limited liability company agreement for Tradeweb Markets LLC, LLC Units may be exchanged for shares of Class A Common Stock or Class B Common Stock, in each case, on a one-for-one basis at the discretion of the holder. Upon such an exchange, a corresponding number of shares of Class D Common Stock (or shares of Class C Common Stock, in the event the holder exchanged its shares of Class D Common Stock as described above) will be canceled. These exchange rights do not expire.</w:t>
      </w:r>
    </w:p>
    <w:p>
      <w:pPr>
        <w:spacing w:after="0" w:line="11" w:lineRule="exact"/>
        <w:rPr>
          <w:rFonts w:ascii="Times New Roman" w:cs="Times New Roman" w:eastAsia="Times New Roman" w:hAnsi="Times New Roman"/>
          <w:sz w:val="14"/>
          <w:szCs w:val="14"/>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directly held by Refinitiv TW Holdings Ltd.</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directly held by Refinitiv US PME LLC.</w:t>
      </w:r>
    </w:p>
    <w:p>
      <w:pPr>
        <w:spacing w:after="0" w:line="52" w:lineRule="exact"/>
        <w:rPr>
          <w:rFonts w:ascii="Times New Roman" w:cs="Times New Roman" w:eastAsia="Times New Roman" w:hAnsi="Times New Roman"/>
          <w:sz w:val="15"/>
          <w:szCs w:val="15"/>
          <w:color w:val="008000"/>
        </w:rPr>
      </w:pPr>
    </w:p>
    <w:p>
      <w:pPr>
        <w:ind w:left="20" w:right="2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Refinitiv US LLC is the controlling member of Refinitiv US PME LLC. LSEGA, Inc. is the sole member of Refinitiv US LLC. Refinitiv Parent Limited is the sole shareholder of LSEGA, Inc. IAG US LLC is a member of Refinitiv US PME LLC. Refinitiv International Holdings S.a.r.l. is the sole member of IAG US LLC. Refinitiv Netherlands Holdings BV is the sole shareholder of Refinitiv International Holdings S.a.r.l.</w:t>
      </w:r>
    </w:p>
    <w:p>
      <w:pPr>
        <w:spacing w:after="0" w:line="29" w:lineRule="exact"/>
        <w:rPr>
          <w:rFonts w:ascii="Times New Roman" w:cs="Times New Roman" w:eastAsia="Times New Roman" w:hAnsi="Times New Roman"/>
          <w:sz w:val="15"/>
          <w:szCs w:val="15"/>
          <w:color w:val="008000"/>
        </w:rPr>
      </w:pPr>
    </w:p>
    <w:p>
      <w:pPr>
        <w:ind w:left="20" w:right="14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w:t>
      </w:r>
    </w:p>
    <w:p>
      <w:pPr>
        <w:spacing w:after="0" w:line="33" w:lineRule="exact"/>
        <w:rPr>
          <w:rFonts w:ascii="Times New Roman" w:cs="Times New Roman" w:eastAsia="Times New Roman" w:hAnsi="Times New Roman"/>
          <w:sz w:val="15"/>
          <w:szCs w:val="15"/>
          <w:color w:val="008000"/>
        </w:rPr>
      </w:pPr>
    </w:p>
    <w:p>
      <w:pPr>
        <w:ind w:left="20" w:right="8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17" w:lineRule="exact"/>
        <w:rPr>
          <w:rFonts w:ascii="Times New Roman" w:cs="Times New Roman" w:eastAsia="Times New Roman" w:hAnsi="Times New Roman"/>
          <w:sz w:val="15"/>
          <w:szCs w:val="15"/>
          <w:color w:val="008000"/>
        </w:rPr>
      </w:pPr>
    </w:p>
    <w:p>
      <w:pPr>
        <w:ind w:left="2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 stock purchase agreement (the "Stock Purchase Agreement") entered into by, among others, London Stock Exchange Group plc ("LSEG") and Refinitiv Holdings Limited ("Refinitiv Holdings") originally entered into on August 1, 2019, amended on August 23, 2019, and amended and restated on November 4, 2019, LSEG (directly and through certain wholly owned subsidiaries) acquired the entire issued and to be issued share capital of Refinitiv Parent Limited ("Refinitiv Parent") from the Refinitiv Sellers</w:t>
      </w:r>
    </w:p>
    <w:p>
      <w:pPr>
        <w:sectPr>
          <w:pgSz w:w="11900" w:h="16909" w:orient="portrait"/>
          <w:cols w:equalWidth="0" w:num="1">
            <w:col w:w="10880"/>
          </w:cols>
          <w:pgMar w:left="500" w:top="120" w:right="519" w:bottom="0" w:gutter="0" w:footer="0" w:header="0"/>
        </w:sectPr>
      </w:pPr>
    </w:p>
    <w:bookmarkStart w:id="2" w:name="page3"/>
    <w:bookmarkEnd w:id="2"/>
    <w:p>
      <w:pPr>
        <w:ind w:right="280"/>
        <w:spacing w:after="0" w:line="259" w:lineRule="auto"/>
        <w:rPr>
          <w:sz w:val="20"/>
          <w:szCs w:val="20"/>
          <w:color w:val="auto"/>
        </w:rPr>
      </w:pPr>
      <w:r>
        <w:rPr>
          <w:rFonts w:ascii="Times New Roman" w:cs="Times New Roman" w:eastAsia="Times New Roman" w:hAnsi="Times New Roman"/>
          <w:sz w:val="15"/>
          <w:szCs w:val="15"/>
          <w:color w:val="008000"/>
        </w:rPr>
        <w:t>(consisting of certain subsidiaries of Refinitiv Holdings) and, in exchange, LSEG will issue 204,225,968 consideration shares (the "Consideration Shares"), such Consideration Shares comprised of: (i) LSEG ordinary shares; and (ii) LSEG limited-voting ordinary shares.</w:t>
      </w:r>
    </w:p>
    <w:p>
      <w:pPr>
        <w:spacing w:after="0" w:line="18" w:lineRule="exact"/>
        <w:rPr>
          <w:sz w:val="20"/>
          <w:szCs w:val="20"/>
          <w:color w:val="auto"/>
        </w:rPr>
      </w:pPr>
    </w:p>
    <w:p>
      <w:pPr>
        <w:ind w:firstLine="5"/>
        <w:spacing w:after="0" w:line="237" w:lineRule="auto"/>
        <w:tabs>
          <w:tab w:leader="none" w:pos="225"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As a result of its acquisition of the share capital of Refinitiv Parent, LSEG acquired 96,933,192 shares of Class B Common Stock, 22,988,329 LLC Units and 22,988,329 shares of Class D Common Stock. The transaction closed on January 29, 2021 (the "Closing"). Of the total number of Consideration Shares expected to be issued, 179,610,123 LSEG shares were issued to the Refinitiv Sellers at Closing. In addition, 24,615,845 LSEG ordinary shares will be issued one month after Closing to ConsortiumCo, a company owned by affiliates of Blackstone (the "Deferred Issue Shares"). The issue of the Deferred Issue Shares to ConsortiumCo is in connection with the settlement of certain existing payment-in-kind shares in Refinitiv Holdings' capital structure.</w:t>
      </w:r>
    </w:p>
    <w:p>
      <w:pPr>
        <w:spacing w:after="0" w:line="33" w:lineRule="exact"/>
        <w:rPr>
          <w:rFonts w:ascii="Times New Roman" w:cs="Times New Roman" w:eastAsia="Times New Roman" w:hAnsi="Times New Roman"/>
          <w:sz w:val="15"/>
          <w:szCs w:val="15"/>
          <w:color w:val="008000"/>
        </w:rPr>
      </w:pPr>
    </w:p>
    <w:p>
      <w:pPr>
        <w:ind w:right="80" w:firstLine="5"/>
        <w:spacing w:after="0" w:line="239" w:lineRule="auto"/>
        <w:tabs>
          <w:tab w:leader="none" w:pos="22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 Power of Attorney</w:t>
      </w:r>
    </w:p>
    <w:p>
      <w:pPr>
        <w:sectPr>
          <w:pgSz w:w="11900" w:h="16838" w:orient="portrait"/>
          <w:cols w:equalWidth="0" w:num="1">
            <w:col w:w="10820"/>
          </w:cols>
          <w:pgMar w:left="520" w:top="125" w:right="559" w:bottom="1440" w:gutter="0" w:footer="0" w:header="0"/>
        </w:sectPr>
      </w:pPr>
    </w:p>
    <w:p>
      <w:pPr>
        <w:spacing w:after="0" w:line="8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Teresa Hogan,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3985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in fact for REFINITIV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445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PME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51943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51943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Teresa Hogan,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3985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in fact for REFINITIV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445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3368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336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Teresa Hogan,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398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in fact for LSEGA,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49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Teresa Hogan,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3985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in fact for REFINITIV 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10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481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456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92456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Teresa Hogan,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3985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in fact for REFINITIV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458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245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028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1028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Teresa Hogan,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3985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in fact for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633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163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7818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6781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8660" w:space="60"/>
            <w:col w:w="2100"/>
          </w:cols>
          <w:pgMar w:left="520" w:top="125"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Lisa Condron, Teresa Hogan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Timothy Knowland, and with full power of substitution, as the undersigned's true and lawful attorney-in-fact to:</w:t>
      </w:r>
    </w:p>
    <w:p>
      <w:pPr>
        <w:spacing w:after="0" w:line="230" w:lineRule="exact"/>
        <w:rPr>
          <w:sz w:val="20"/>
          <w:szCs w:val="20"/>
          <w:color w:val="auto"/>
        </w:rPr>
      </w:pPr>
    </w:p>
    <w:p>
      <w:pPr>
        <w:ind w:right="400" w:firstLine="916"/>
        <w:spacing w:after="0" w:line="261" w:lineRule="auto"/>
        <w:tabs>
          <w:tab w:leader="none" w:pos="165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connection with the undersigned’s beneficial ownership of securities beneficially owned, directly or indirectly, of Tradeweb Markets Inc., a Delaware corporation (the “Company”), forms and documents related specifically to Section 13 and Section 16 of the Securities Exchange Act of 1934 and the rules thereunder (the “Exchange Act”), and any joint filing agreement in connection with the foregoing;</w:t>
      </w:r>
    </w:p>
    <w:p>
      <w:pPr>
        <w:spacing w:after="0" w:line="200" w:lineRule="exact"/>
        <w:rPr>
          <w:rFonts w:ascii="Times New Roman" w:cs="Times New Roman" w:eastAsia="Times New Roman" w:hAnsi="Times New Roman"/>
          <w:sz w:val="20"/>
          <w:szCs w:val="20"/>
          <w:color w:val="auto"/>
        </w:rPr>
      </w:pPr>
    </w:p>
    <w:p>
      <w:pPr>
        <w:ind w:right="200" w:firstLine="916"/>
        <w:spacing w:after="0" w:line="261" w:lineRule="auto"/>
        <w:tabs>
          <w:tab w:leader="none" w:pos="165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and documents related specifically to Section 13 and Section 16 of the Exchange Act, complete and execute any amendment or amendments thereto, and timely file such forms and documents with the U.S. Securities and Exchange Commission (the “SEC”) and any stock exchange or similar authority; and</w:t>
      </w:r>
    </w:p>
    <w:p>
      <w:pPr>
        <w:spacing w:after="0" w:line="200" w:lineRule="exact"/>
        <w:rPr>
          <w:rFonts w:ascii="Times New Roman" w:cs="Times New Roman" w:eastAsia="Times New Roman" w:hAnsi="Times New Roman"/>
          <w:sz w:val="20"/>
          <w:szCs w:val="20"/>
          <w:color w:val="auto"/>
        </w:rPr>
      </w:pPr>
    </w:p>
    <w:p>
      <w:pPr>
        <w:ind w:right="120" w:firstLine="916"/>
        <w:spacing w:after="0" w:line="261" w:lineRule="auto"/>
        <w:tabs>
          <w:tab w:leader="none" w:pos="165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lawful action of any type whatsoever in connection with the foregoing which, in the opinion of any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any such attorney-in-fact’s discretion.</w:t>
      </w:r>
    </w:p>
    <w:p>
      <w:pPr>
        <w:spacing w:after="0" w:line="200" w:lineRule="exact"/>
        <w:rPr>
          <w:sz w:val="20"/>
          <w:szCs w:val="20"/>
          <w:color w:val="auto"/>
        </w:rPr>
      </w:pPr>
    </w:p>
    <w:p>
      <w:pPr>
        <w:ind w:right="120" w:firstLine="916"/>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All lawful acts done by the attorney-in-fact in this regard shall be deemed to have been done by the undersigned. The undersigned acknowledges that the foregoing attorneys-in-fact, in serving in such capacity at the request of the undersigned, are not assuming, nor is the Company assuming, any of the undersigned's responsibilities to comply with Section 13 or Section 16 of the Exchange Act.</w:t>
      </w:r>
    </w:p>
    <w:p>
      <w:pPr>
        <w:spacing w:after="0" w:line="209" w:lineRule="exact"/>
        <w:rPr>
          <w:sz w:val="20"/>
          <w:szCs w:val="20"/>
          <w:color w:val="auto"/>
        </w:rPr>
      </w:pPr>
    </w:p>
    <w:p>
      <w:pPr>
        <w:ind w:right="160"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and documents related specifically to Section 13 and Section 16 of the Exchange Act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94690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4" w:name="page5"/>
    <w:bookmarkEnd w:id="4"/>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8</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February,</w:t>
      </w:r>
    </w:p>
    <w:p>
      <w:pPr>
        <w:spacing w:after="0"/>
        <w:rPr>
          <w:sz w:val="20"/>
          <w:szCs w:val="20"/>
          <w:color w:val="auto"/>
        </w:rPr>
      </w:pPr>
      <w:r>
        <w:rPr>
          <w:rFonts w:ascii="Times New Roman" w:cs="Times New Roman" w:eastAsia="Times New Roman" w:hAnsi="Times New Roman"/>
          <w:sz w:val="20"/>
          <w:szCs w:val="20"/>
          <w:color w:val="auto"/>
        </w:rPr>
        <w:t>2021</w:t>
      </w:r>
    </w:p>
    <w:p>
      <w:pPr>
        <w:spacing w:after="0" w:line="2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REFINITIV US PME LLC</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Mark Irving</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REFINITIV US LLC</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Mark Irving</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Mark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LSEGA, INC.</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Patricia Wolff</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Patricia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REFINITIV TW HOLDINGS LTD.</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Timothy Knowland</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Timothy Knowland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REFINITIV PARENT LIMITED</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Timothy Knowland</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Timothy Knowland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Assistant Secretary</w:t>
      </w: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LONDON STOCK EXCHANGE GROUP PLC</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Lisa Condron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Lisa Condron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258820" cy="952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20"/>
          <w:szCs w:val="20"/>
          <w:color w:val="auto"/>
        </w:rPr>
        <w:t>Title: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9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2"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10" Type="http://schemas.openxmlformats.org/officeDocument/2006/relationships/hyperlink" Target="http://www.sec.gov/cgi-bin/browse-edgar?action=getcompany&amp;CIK=0001772075" TargetMode="External"/><Relationship Id="rId11" Type="http://schemas.openxmlformats.org/officeDocument/2006/relationships/hyperlink" Target="http://www.sec.gov/cgi-bin/browse-edgar?action=getcompany&amp;CIK=0001758730" TargetMode="External"/><Relationship Id="rId16" Type="http://schemas.openxmlformats.org/officeDocument/2006/relationships/hyperlink" Target="http://www.sec.gov/cgi-bin/browse-edgar?action=getcompany&amp;CIK=0001772073" TargetMode="External"/><Relationship Id="rId20" Type="http://schemas.openxmlformats.org/officeDocument/2006/relationships/hyperlink" Target="http://www.sec.gov/cgi-bin/browse-edgar?action=getcompany&amp;CIK=0001842891" TargetMode="External"/><Relationship Id="rId21" Type="http://schemas.openxmlformats.org/officeDocument/2006/relationships/hyperlink" Target="http://www.sec.gov/cgi-bin/browse-edgar?action=getcompany&amp;CIK=0001772096" TargetMode="External"/><Relationship Id="rId23" Type="http://schemas.openxmlformats.org/officeDocument/2006/relationships/hyperlink" Target="http://www.sec.gov/cgi-bin/browse-edgar?action=getcompany&amp;CIK=0001771967" TargetMode="External"/><Relationship Id="rId24" Type="http://schemas.openxmlformats.org/officeDocument/2006/relationships/hyperlink" Target="http://www.sec.gov/cgi-bin/browse-edgar?action=getcompany&amp;CIK=0001842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2021-02-08T15:04:44Z</dcterms:created>
  <dcterms:modified xsi:type="dcterms:W3CDTF">2021-02-08T15:04:44Z</dcterms:modified>
</cp:coreProperties>
</file>