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03/15/2022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9,613</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70,859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2022.</w:t>
      </w:r>
    </w:p>
    <w:p>
      <w:pPr>
        <w:jc w:val="both"/>
        <w:ind w:left="40" w:right="30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4,287 unvested RSUs in respect of Class A Common Stock which are scheduled to vest on March 17, 2023, (ii) 25,726 unvested RSUs in respect of Class A Common Stock which are scheduled to vest on January 1, 2023, (iii) 6,742 unvested RSUs in respect of Class A Common Stock which are scheduled to vest in equal installments on each of March 15, 2023 and March 15, 2024, (iv) 14,832 unvested RSUs in respect of Class A Common Stock which are scheduled to vest on January 1, 2024, and (v) 9,613 unvested RSUs in respect of Class A Common Stock which are scheduled to vest as described in footnote 1 to this Form 4,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2022-03-17T20:56:44Z</dcterms:created>
  <dcterms:modified xsi:type="dcterms:W3CDTF">2022-03-17T20:56:44Z</dcterms:modified>
</cp:coreProperties>
</file>