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14,271</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77,673</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8" w:lineRule="exact"/>
        <w:rPr>
          <w:rFonts w:ascii="Arial" w:cs="Arial" w:eastAsia="Arial" w:hAnsi="Arial"/>
          <w:sz w:val="12"/>
          <w:szCs w:val="12"/>
          <w:color w:val="008000"/>
        </w:rPr>
      </w:pPr>
    </w:p>
    <w:p>
      <w:pPr>
        <w:ind w:left="40" w:right="140" w:firstLine="7"/>
        <w:spacing w:after="0" w:line="29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5,360 unvested RSUs in respect of Class A Common Stock which are scheduled to vest on March 17, 2023, (ii) 6,293 unvested RSUs in respect of Class A Common Stock which are scheduled to vest in equal installments on each of March 15, 2023 and March 15, 2024, (iii) 18,878 unvested RSUs in respect of Class A Common Stock which are scheduled to vest on January 1, 2024, (iv) 11,046 unvested RSUs in respect of Class A Common Stock which are scheduled to vest in equal installments on the first, second and third anniversaries of March 15, 2022, and (v) 14,271 unvested RSUs in respect of Class A Common Stock that are scheduled to vest on January 1, 2025, in each case subject to the reporting person's continued employment through the applicable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02/28/2023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2023-02-28T17:40:10Z</dcterms:created>
  <dcterms:modified xsi:type="dcterms:W3CDTF">2023-02-28T17:40:10Z</dcterms:modified>
</cp:coreProperties>
</file>