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9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972"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17"/>
                <w:szCs w:val="17"/>
                <w:color w:val="0000FF"/>
                <w:w w:val="93"/>
              </w:rPr>
              <w:t>9,321</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52,954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387</w:t>
            </w:r>
            <w:r>
              <w:rPr>
                <w:rFonts w:ascii="Times New Roman" w:cs="Times New Roman" w:eastAsia="Times New Roman" w:hAnsi="Times New Roman"/>
                <w:sz w:val="22"/>
                <w:szCs w:val="22"/>
                <w:color w:val="008000"/>
                <w:w w:val="89"/>
                <w:vertAlign w:val="superscript"/>
              </w:rPr>
              <w:t>(3)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53,341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2,155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61.2638</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51,186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2,389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62.1545</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48,797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2,950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63.2778</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45,847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6,439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64.2667</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39,408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-3978910</wp:posOffset>
            </wp:positionV>
            <wp:extent cx="703135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195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26,404 unvested RSUs in respect of Class A Common Stock which are scheduled to vest on January 1, 2022 and (ii)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16, 2020.</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$60.69 to $61.66,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$61.71 to $62.55,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$62.75 to $63.74,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$63.77 to $64.50,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02/02/2021</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2021-02-02T18:22:25Z</dcterms:created>
  <dcterms:modified xsi:type="dcterms:W3CDTF">2021-02-02T18:22:25Z</dcterms:modified>
</cp:coreProperties>
</file>