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Tradeweb Markets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892672106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40" w:hanging="436"/>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2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Refinitiv TW Holdings Ltd.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96,933,192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96,933,192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96,933,192</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60.4%</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3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Refinitiv US PME LLC</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22,988,329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4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Refinitiv US LLC</w:t>
            </w: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22,988,329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5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Refinitiv US Holdings Inc.</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22,988,329</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22,988,329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6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Refinitiv Parent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7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Refinitiv Holdings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Cayman Islands</w:t>
            </w: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8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BCP York Holdings (Delaware) L.P.</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60" w:type="dxa"/>
            <w:vAlign w:val="bottom"/>
          </w:tcPr>
          <w:p>
            <w:pPr>
              <w:ind w:left="3580"/>
              <w:spacing w:after="0"/>
              <w:rPr>
                <w:sz w:val="20"/>
                <w:szCs w:val="20"/>
                <w:color w:val="auto"/>
              </w:rPr>
            </w:pPr>
            <w:r>
              <w:rPr>
                <w:rFonts w:ascii="Arial" w:cs="Arial" w:eastAsia="Arial" w:hAnsi="Arial"/>
                <w:sz w:val="18"/>
                <w:szCs w:val="18"/>
                <w:color w:val="auto"/>
              </w:rPr>
              <w:t>13G</w:t>
            </w:r>
          </w:p>
        </w:tc>
        <w:tc>
          <w:tcPr>
            <w:tcW w:w="2380" w:type="dxa"/>
            <w:vAlign w:val="bottom"/>
          </w:tcPr>
          <w:p>
            <w:pPr>
              <w:ind w:left="1440"/>
              <w:spacing w:after="0"/>
              <w:rPr>
                <w:sz w:val="20"/>
                <w:szCs w:val="20"/>
                <w:color w:val="auto"/>
              </w:rPr>
            </w:pPr>
            <w:r>
              <w:rPr>
                <w:rFonts w:ascii="Arial" w:cs="Arial" w:eastAsia="Arial" w:hAnsi="Arial"/>
                <w:sz w:val="18"/>
                <w:szCs w:val="18"/>
                <w:color w:val="auto"/>
                <w:w w:val="88"/>
              </w:rPr>
              <w:t>Page 9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BCP York Holdings GP (Delaware) L.L.C.</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6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10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BCP York Subsidiary (Cayman) L.P.</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Cayman Islands</w:t>
            </w: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400"/>
              <w:spacing w:after="0"/>
              <w:rPr>
                <w:sz w:val="20"/>
                <w:szCs w:val="20"/>
                <w:color w:val="auto"/>
              </w:rPr>
            </w:pPr>
            <w:r>
              <w:rPr>
                <w:rFonts w:ascii="Arial" w:cs="Arial" w:eastAsia="Arial" w:hAnsi="Arial"/>
                <w:sz w:val="18"/>
                <w:szCs w:val="18"/>
                <w:color w:val="auto"/>
                <w:w w:val="87"/>
              </w:rPr>
              <w:t>Page 11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BCP VII Holdings Manager (Cayman) L.L.C.</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12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Blackstone Management Associates (Cayman) VII L.P.</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Cayman Islands</w:t>
            </w: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ind w:left="346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13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gridSpan w:val="2"/>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6"/>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w w:val="98"/>
              </w:rPr>
              <w:t>BCP VII GP L.L.C.</w:t>
            </w: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6"/>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5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gridSpan w:val="2"/>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650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2"/>
                <w:szCs w:val="12"/>
                <w:color w:val="auto"/>
              </w:rPr>
            </w:pPr>
          </w:p>
        </w:tc>
        <w:tc>
          <w:tcPr>
            <w:tcW w:w="65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0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gridSpan w:val="2"/>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6"/>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6"/>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14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Blackstone Holdings III L.P.</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Quebec, Canada</w:t>
            </w: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15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Blackstone Holdings III GP L.P.</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16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Blackstone Holdings III GP Management L.L.C.</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17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The Blackstone Group Inc.</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18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Blackstone Group Management L.L.C.</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3"/>
              </w:rPr>
              <w:t>CUSIP No. 892672106</w:t>
            </w:r>
          </w:p>
        </w:tc>
        <w:tc>
          <w:tcPr>
            <w:tcW w:w="280" w:type="dxa"/>
            <w:vAlign w:val="bottom"/>
          </w:tcPr>
          <w:p>
            <w:pPr>
              <w:spacing w:after="0"/>
              <w:rPr>
                <w:sz w:val="20"/>
                <w:szCs w:val="20"/>
                <w:color w:val="auto"/>
              </w:rPr>
            </w:pPr>
          </w:p>
        </w:tc>
        <w:tc>
          <w:tcPr>
            <w:tcW w:w="6620" w:type="dxa"/>
            <w:vAlign w:val="bottom"/>
          </w:tcPr>
          <w:p>
            <w:pPr>
              <w:ind w:left="3580"/>
              <w:spacing w:after="0"/>
              <w:rPr>
                <w:sz w:val="20"/>
                <w:szCs w:val="20"/>
                <w:color w:val="auto"/>
              </w:rPr>
            </w:pPr>
            <w:r>
              <w:rPr>
                <w:rFonts w:ascii="Arial" w:cs="Arial" w:eastAsia="Arial" w:hAnsi="Arial"/>
                <w:sz w:val="18"/>
                <w:szCs w:val="18"/>
                <w:color w:val="auto"/>
              </w:rPr>
              <w:t>13G</w:t>
            </w:r>
          </w:p>
        </w:tc>
        <w:tc>
          <w:tcPr>
            <w:tcW w:w="2420" w:type="dxa"/>
            <w:vAlign w:val="bottom"/>
          </w:tcPr>
          <w:p>
            <w:pPr>
              <w:ind w:left="1380"/>
              <w:spacing w:after="0"/>
              <w:rPr>
                <w:sz w:val="20"/>
                <w:szCs w:val="20"/>
                <w:color w:val="auto"/>
              </w:rPr>
            </w:pPr>
            <w:r>
              <w:rPr>
                <w:rFonts w:ascii="Arial" w:cs="Arial" w:eastAsia="Arial" w:hAnsi="Arial"/>
                <w:sz w:val="18"/>
                <w:szCs w:val="18"/>
                <w:color w:val="auto"/>
                <w:w w:val="89"/>
              </w:rPr>
              <w:t>Page 19 of 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Stephen A. Schwarzman</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14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8"/>
              </w:rPr>
              <w:t>United States</w:t>
            </w: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6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6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66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119,921,521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66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66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00" w:type="dxa"/>
            <w:vAlign w:val="bottom"/>
            <w:gridSpan w:val="2"/>
          </w:tcPr>
          <w:p>
            <w:pPr>
              <w:spacing w:after="0"/>
              <w:rPr>
                <w:sz w:val="20"/>
                <w:szCs w:val="20"/>
                <w:color w:val="auto"/>
              </w:rPr>
            </w:pPr>
            <w:r>
              <w:rPr>
                <w:rFonts w:ascii="Arial" w:cs="Arial" w:eastAsia="Arial" w:hAnsi="Arial"/>
                <w:sz w:val="14"/>
                <w:szCs w:val="14"/>
                <w:color w:val="auto"/>
                <w:w w:val="74"/>
              </w:rPr>
              <w:t>Amount</w:t>
            </w:r>
          </w:p>
        </w:tc>
        <w:tc>
          <w:tcPr>
            <w:tcW w:w="662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119,921,521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1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 w:name="page20"/>
    <w:bookmarkEnd w:id="19"/>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Tradeweb Markets Inc. (the “Issuer”)</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1177 Avenue of the Americas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10036</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000" w:firstLine="401"/>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197" w:lineRule="exact"/>
        <w:rPr>
          <w:sz w:val="20"/>
          <w:szCs w:val="20"/>
          <w:color w:val="auto"/>
        </w:rPr>
      </w:pPr>
    </w:p>
    <w:p>
      <w:pPr>
        <w:ind w:left="1980" w:right="6560" w:hanging="545"/>
        <w:spacing w:after="0" w:line="302" w:lineRule="auto"/>
        <w:tabs>
          <w:tab w:leader="none" w:pos="1968"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Refinitiv TW Holdings Ltd. c/o Refinitiv, 3 Times Square New York, NY 10036 Citizenship: Cayman Islands</w:t>
      </w:r>
    </w:p>
    <w:p>
      <w:pPr>
        <w:spacing w:after="0" w:line="181" w:lineRule="exact"/>
        <w:rPr>
          <w:rFonts w:ascii="Arial" w:cs="Arial" w:eastAsia="Arial" w:hAnsi="Arial"/>
          <w:sz w:val="16"/>
          <w:szCs w:val="16"/>
          <w:color w:val="auto"/>
        </w:rPr>
      </w:pPr>
    </w:p>
    <w:p>
      <w:pPr>
        <w:ind w:left="1980" w:hanging="54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US PME LLC</w:t>
      </w:r>
    </w:p>
    <w:p>
      <w:pPr>
        <w:spacing w:after="0" w:line="23" w:lineRule="exact"/>
        <w:rPr>
          <w:rFonts w:ascii="Arial" w:cs="Arial" w:eastAsia="Arial" w:hAnsi="Arial"/>
          <w:sz w:val="18"/>
          <w:szCs w:val="18"/>
          <w:color w:val="auto"/>
        </w:rPr>
      </w:pPr>
    </w:p>
    <w:p>
      <w:pPr>
        <w:ind w:left="1980" w:right="6560"/>
        <w:spacing w:after="0" w:line="302" w:lineRule="auto"/>
        <w:rPr>
          <w:rFonts w:ascii="Arial" w:cs="Arial" w:eastAsia="Arial" w:hAnsi="Arial"/>
          <w:sz w:val="18"/>
          <w:szCs w:val="18"/>
          <w:color w:val="auto"/>
        </w:rPr>
      </w:pPr>
      <w:r>
        <w:rPr>
          <w:rFonts w:ascii="Arial" w:cs="Arial" w:eastAsia="Arial" w:hAnsi="Arial"/>
          <w:sz w:val="16"/>
          <w:szCs w:val="16"/>
          <w:color w:val="auto"/>
        </w:rPr>
        <w:t>c/o Refinitiv, 3 Times Square New York, NY 10036 Citizenship: Delaware</w:t>
      </w:r>
    </w:p>
    <w:p>
      <w:pPr>
        <w:spacing w:after="0" w:line="182" w:lineRule="exact"/>
        <w:rPr>
          <w:rFonts w:ascii="Arial" w:cs="Arial" w:eastAsia="Arial" w:hAnsi="Arial"/>
          <w:sz w:val="18"/>
          <w:szCs w:val="18"/>
          <w:color w:val="auto"/>
        </w:rPr>
      </w:pPr>
    </w:p>
    <w:p>
      <w:pPr>
        <w:ind w:left="1980" w:hanging="54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US LLC</w:t>
      </w:r>
    </w:p>
    <w:p>
      <w:pPr>
        <w:spacing w:after="0" w:line="23" w:lineRule="exact"/>
        <w:rPr>
          <w:rFonts w:ascii="Arial" w:cs="Arial" w:eastAsia="Arial" w:hAnsi="Arial"/>
          <w:sz w:val="18"/>
          <w:szCs w:val="18"/>
          <w:color w:val="auto"/>
        </w:rPr>
      </w:pPr>
    </w:p>
    <w:p>
      <w:pPr>
        <w:ind w:left="1980" w:right="6560"/>
        <w:spacing w:after="0" w:line="302" w:lineRule="auto"/>
        <w:rPr>
          <w:rFonts w:ascii="Arial" w:cs="Arial" w:eastAsia="Arial" w:hAnsi="Arial"/>
          <w:sz w:val="18"/>
          <w:szCs w:val="18"/>
          <w:color w:val="auto"/>
        </w:rPr>
      </w:pPr>
      <w:r>
        <w:rPr>
          <w:rFonts w:ascii="Arial" w:cs="Arial" w:eastAsia="Arial" w:hAnsi="Arial"/>
          <w:sz w:val="16"/>
          <w:szCs w:val="16"/>
          <w:color w:val="auto"/>
        </w:rPr>
        <w:t>c/o Refinitiv, 3 Times Square New York, NY 10036 Citizenship: Delaware</w:t>
      </w:r>
    </w:p>
    <w:p>
      <w:pPr>
        <w:spacing w:after="0" w:line="182" w:lineRule="exact"/>
        <w:rPr>
          <w:rFonts w:ascii="Arial" w:cs="Arial" w:eastAsia="Arial" w:hAnsi="Arial"/>
          <w:sz w:val="18"/>
          <w:szCs w:val="18"/>
          <w:color w:val="auto"/>
        </w:rPr>
      </w:pPr>
    </w:p>
    <w:p>
      <w:pPr>
        <w:ind w:left="1980" w:right="6560" w:hanging="545"/>
        <w:spacing w:after="0" w:line="302" w:lineRule="auto"/>
        <w:tabs>
          <w:tab w:leader="none" w:pos="1968"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Refinitiv US Holdings Inc. c/o Refinitiv, 3 Times Square New York, NY 10036 Citizenship: Delaware</w:t>
      </w:r>
    </w:p>
    <w:p>
      <w:pPr>
        <w:spacing w:after="0" w:line="181" w:lineRule="exact"/>
        <w:rPr>
          <w:rFonts w:ascii="Arial" w:cs="Arial" w:eastAsia="Arial" w:hAnsi="Arial"/>
          <w:sz w:val="16"/>
          <w:szCs w:val="16"/>
          <w:color w:val="auto"/>
        </w:rPr>
      </w:pPr>
    </w:p>
    <w:p>
      <w:pPr>
        <w:ind w:left="1980" w:hanging="54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Parent Limited</w:t>
      </w:r>
    </w:p>
    <w:p>
      <w:pPr>
        <w:spacing w:after="0" w:line="23" w:lineRule="exact"/>
        <w:rPr>
          <w:rFonts w:ascii="Arial" w:cs="Arial" w:eastAsia="Arial" w:hAnsi="Arial"/>
          <w:sz w:val="18"/>
          <w:szCs w:val="18"/>
          <w:color w:val="auto"/>
        </w:rPr>
      </w:pPr>
    </w:p>
    <w:p>
      <w:pPr>
        <w:ind w:left="1980" w:right="6560"/>
        <w:spacing w:after="0" w:line="302" w:lineRule="auto"/>
        <w:rPr>
          <w:rFonts w:ascii="Arial" w:cs="Arial" w:eastAsia="Arial" w:hAnsi="Arial"/>
          <w:sz w:val="18"/>
          <w:szCs w:val="18"/>
          <w:color w:val="auto"/>
        </w:rPr>
      </w:pPr>
      <w:r>
        <w:rPr>
          <w:rFonts w:ascii="Arial" w:cs="Arial" w:eastAsia="Arial" w:hAnsi="Arial"/>
          <w:sz w:val="16"/>
          <w:szCs w:val="16"/>
          <w:color w:val="auto"/>
        </w:rPr>
        <w:t>c/o Refinitiv, 3 Times Square New York, NY 10036 Citizenship: Cayman Islands</w:t>
      </w:r>
    </w:p>
    <w:p>
      <w:pPr>
        <w:spacing w:after="0" w:line="182" w:lineRule="exact"/>
        <w:rPr>
          <w:rFonts w:ascii="Arial" w:cs="Arial" w:eastAsia="Arial" w:hAnsi="Arial"/>
          <w:sz w:val="18"/>
          <w:szCs w:val="18"/>
          <w:color w:val="auto"/>
        </w:rPr>
      </w:pPr>
    </w:p>
    <w:p>
      <w:pPr>
        <w:ind w:left="1980" w:right="6560" w:hanging="545"/>
        <w:spacing w:after="0" w:line="302" w:lineRule="auto"/>
        <w:tabs>
          <w:tab w:leader="none" w:pos="1968"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Refinitiv Holdings Limited c/o Refinitiv, 3 Times Square New York, NY 10036 Citizenship: Cayman Islands</w:t>
      </w:r>
    </w:p>
    <w:p>
      <w:pPr>
        <w:spacing w:after="0" w:line="181" w:lineRule="exact"/>
        <w:rPr>
          <w:rFonts w:ascii="Arial" w:cs="Arial" w:eastAsia="Arial" w:hAnsi="Arial"/>
          <w:sz w:val="16"/>
          <w:szCs w:val="16"/>
          <w:color w:val="auto"/>
        </w:rPr>
      </w:pPr>
    </w:p>
    <w:p>
      <w:pPr>
        <w:ind w:left="1980" w:right="6060" w:hanging="545"/>
        <w:spacing w:after="0" w:line="291" w:lineRule="auto"/>
        <w:tabs>
          <w:tab w:leader="none" w:pos="1968" w:val="left"/>
        </w:tabs>
        <w:numPr>
          <w:ilvl w:val="0"/>
          <w:numId w:val="4"/>
        </w:numPr>
        <w:rPr>
          <w:rFonts w:ascii="Arial" w:cs="Arial" w:eastAsia="Arial" w:hAnsi="Arial"/>
          <w:sz w:val="16"/>
          <w:szCs w:val="16"/>
          <w:color w:val="auto"/>
        </w:rPr>
      </w:pPr>
      <w:r>
        <w:rPr>
          <w:rFonts w:ascii="Arial" w:cs="Arial" w:eastAsia="Arial" w:hAnsi="Arial"/>
          <w:sz w:val="16"/>
          <w:szCs w:val="16"/>
          <w:color w:val="auto"/>
        </w:rPr>
        <w:t>BCP York Holdings (Delaware) L.P. c/o The Blackstone Group Inc.</w:t>
      </w:r>
    </w:p>
    <w:p>
      <w:pPr>
        <w:ind w:left="1980" w:right="6460"/>
        <w:spacing w:after="0" w:line="277" w:lineRule="auto"/>
        <w:rPr>
          <w:rFonts w:ascii="Arial" w:cs="Arial" w:eastAsia="Arial" w:hAnsi="Arial"/>
          <w:sz w:val="16"/>
          <w:szCs w:val="16"/>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6"/>
          <w:szCs w:val="16"/>
          <w:color w:val="auto"/>
        </w:rPr>
      </w:pPr>
    </w:p>
    <w:p>
      <w:pPr>
        <w:ind w:left="1980" w:right="5600" w:hanging="545"/>
        <w:spacing w:after="0" w:line="258" w:lineRule="auto"/>
        <w:tabs>
          <w:tab w:leader="none" w:pos="1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BCP York Holdings GP (Delaware) L.L.C. c/o The Blackstone Group Inc.</w:t>
      </w:r>
    </w:p>
    <w:p>
      <w:pPr>
        <w:spacing w:after="0" w:line="1" w:lineRule="exact"/>
        <w:rPr>
          <w:rFonts w:ascii="Arial" w:cs="Arial" w:eastAsia="Arial" w:hAnsi="Arial"/>
          <w:sz w:val="18"/>
          <w:szCs w:val="18"/>
          <w:color w:val="auto"/>
        </w:rPr>
      </w:pPr>
    </w:p>
    <w:p>
      <w:pPr>
        <w:ind w:left="1980" w:right="6460"/>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ectPr>
          <w:pgSz w:w="11900" w:h="16838" w:orient="portrait"/>
          <w:cols w:equalWidth="0" w:num="1">
            <w:col w:w="10660"/>
          </w:cols>
          <w:pgMar w:left="440" w:top="270" w:right="799" w:bottom="1440" w:gutter="0" w:footer="0" w:header="0"/>
        </w:sectPr>
      </w:pPr>
    </w:p>
    <w:bookmarkStart w:id="20" w:name="page21"/>
    <w:bookmarkEnd w:id="20"/>
    <w:p>
      <w:pPr>
        <w:ind w:left="980" w:right="5399" w:hanging="545"/>
        <w:spacing w:after="0" w:line="274" w:lineRule="auto"/>
        <w:tabs>
          <w:tab w:leader="none" w:pos="968"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BCP York Subsidiary (Cayman) L.P. c/o The Blackstone Group Inc.</w:t>
      </w:r>
    </w:p>
    <w:p>
      <w:pPr>
        <w:ind w:left="980" w:right="5959"/>
        <w:spacing w:after="0" w:line="302" w:lineRule="auto"/>
        <w:rPr>
          <w:rFonts w:ascii="Arial" w:cs="Arial" w:eastAsia="Arial" w:hAnsi="Arial"/>
          <w:sz w:val="17"/>
          <w:szCs w:val="17"/>
          <w:color w:val="auto"/>
        </w:rPr>
      </w:pPr>
      <w:r>
        <w:rPr>
          <w:rFonts w:ascii="Arial" w:cs="Arial" w:eastAsia="Arial" w:hAnsi="Arial"/>
          <w:sz w:val="16"/>
          <w:szCs w:val="16"/>
          <w:color w:val="auto"/>
        </w:rPr>
        <w:t>345 Park Avenue New York, NY 10154 Citizenship: Cayman Islands</w:t>
      </w:r>
    </w:p>
    <w:p>
      <w:pPr>
        <w:spacing w:after="0" w:line="182" w:lineRule="exact"/>
        <w:rPr>
          <w:rFonts w:ascii="Arial" w:cs="Arial" w:eastAsia="Arial" w:hAnsi="Arial"/>
          <w:sz w:val="17"/>
          <w:szCs w:val="17"/>
          <w:color w:val="auto"/>
        </w:rPr>
      </w:pPr>
    </w:p>
    <w:p>
      <w:pPr>
        <w:ind w:left="980" w:right="4739" w:hanging="545"/>
        <w:spacing w:after="0" w:line="258"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BCP VII Holdings Manager (Cayman) L.L.C. c/o The Blackstone Group Inc.</w:t>
      </w:r>
    </w:p>
    <w:p>
      <w:pPr>
        <w:spacing w:after="0" w:line="1" w:lineRule="exact"/>
        <w:rPr>
          <w:rFonts w:ascii="Arial" w:cs="Arial" w:eastAsia="Arial" w:hAnsi="Arial"/>
          <w:sz w:val="18"/>
          <w:szCs w:val="18"/>
          <w:color w:val="auto"/>
        </w:rPr>
      </w:pPr>
    </w:p>
    <w:p>
      <w:pPr>
        <w:ind w:left="980" w:right="581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8"/>
          <w:szCs w:val="18"/>
          <w:color w:val="auto"/>
        </w:rPr>
      </w:pPr>
    </w:p>
    <w:p>
      <w:pPr>
        <w:ind w:left="980" w:right="4059" w:hanging="545"/>
        <w:spacing w:after="0" w:line="258"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Blackstone Management Associates (Cayman) VII L.P. c/o The Blackstone Group Inc.</w:t>
      </w:r>
    </w:p>
    <w:p>
      <w:pPr>
        <w:spacing w:after="0" w:line="1" w:lineRule="exact"/>
        <w:rPr>
          <w:rFonts w:ascii="Arial" w:cs="Arial" w:eastAsia="Arial" w:hAnsi="Arial"/>
          <w:sz w:val="18"/>
          <w:szCs w:val="18"/>
          <w:color w:val="auto"/>
        </w:rPr>
      </w:pPr>
    </w:p>
    <w:p>
      <w:pPr>
        <w:ind w:left="980" w:right="5959"/>
        <w:spacing w:after="0" w:line="302" w:lineRule="auto"/>
        <w:rPr>
          <w:rFonts w:ascii="Arial" w:cs="Arial" w:eastAsia="Arial" w:hAnsi="Arial"/>
          <w:sz w:val="18"/>
          <w:szCs w:val="18"/>
          <w:color w:val="auto"/>
        </w:rPr>
      </w:pPr>
      <w:r>
        <w:rPr>
          <w:rFonts w:ascii="Arial" w:cs="Arial" w:eastAsia="Arial" w:hAnsi="Arial"/>
          <w:sz w:val="16"/>
          <w:szCs w:val="16"/>
          <w:color w:val="auto"/>
        </w:rPr>
        <w:t>345 Park Avenue New York, NY 10154 Citizenship: Cayman Islands</w:t>
      </w:r>
    </w:p>
    <w:p>
      <w:pPr>
        <w:spacing w:after="0" w:line="182" w:lineRule="exact"/>
        <w:rPr>
          <w:rFonts w:ascii="Arial" w:cs="Arial" w:eastAsia="Arial" w:hAnsi="Arial"/>
          <w:sz w:val="18"/>
          <w:szCs w:val="18"/>
          <w:color w:val="auto"/>
        </w:rPr>
      </w:pPr>
    </w:p>
    <w:p>
      <w:pPr>
        <w:ind w:left="980" w:hanging="54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BCP VII GP L.L.C.</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 The Blackstone Group Inc.</w:t>
      </w:r>
    </w:p>
    <w:p>
      <w:pPr>
        <w:spacing w:after="0" w:line="9" w:lineRule="exact"/>
        <w:rPr>
          <w:rFonts w:ascii="Arial" w:cs="Arial" w:eastAsia="Arial" w:hAnsi="Arial"/>
          <w:sz w:val="18"/>
          <w:szCs w:val="18"/>
          <w:color w:val="auto"/>
        </w:rPr>
      </w:pPr>
    </w:p>
    <w:p>
      <w:pPr>
        <w:ind w:left="980" w:right="581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8"/>
          <w:szCs w:val="18"/>
          <w:color w:val="auto"/>
        </w:rPr>
      </w:pPr>
    </w:p>
    <w:p>
      <w:pPr>
        <w:ind w:left="980" w:right="5819" w:hanging="545"/>
        <w:spacing w:after="0" w:line="256"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Blackstone Holdings III L.P. c/o The Blackstone Group Inc. 345 Park Avenue</w:t>
      </w:r>
    </w:p>
    <w:p>
      <w:pPr>
        <w:ind w:left="980" w:right="5939"/>
        <w:spacing w:after="0" w:line="323" w:lineRule="auto"/>
        <w:rPr>
          <w:rFonts w:ascii="Arial" w:cs="Arial" w:eastAsia="Arial" w:hAnsi="Arial"/>
          <w:sz w:val="18"/>
          <w:szCs w:val="18"/>
          <w:color w:val="auto"/>
        </w:rPr>
      </w:pPr>
      <w:r>
        <w:rPr>
          <w:rFonts w:ascii="Arial" w:cs="Arial" w:eastAsia="Arial" w:hAnsi="Arial"/>
          <w:sz w:val="16"/>
          <w:szCs w:val="16"/>
          <w:color w:val="auto"/>
        </w:rPr>
        <w:t>New York, NY 10154 Citizenship: Quebec, Canada</w:t>
      </w:r>
    </w:p>
    <w:p>
      <w:pPr>
        <w:spacing w:after="0" w:line="165" w:lineRule="exact"/>
        <w:rPr>
          <w:rFonts w:ascii="Arial" w:cs="Arial" w:eastAsia="Arial" w:hAnsi="Arial"/>
          <w:sz w:val="18"/>
          <w:szCs w:val="18"/>
          <w:color w:val="auto"/>
        </w:rPr>
      </w:pPr>
    </w:p>
    <w:p>
      <w:pPr>
        <w:ind w:left="980" w:right="5719" w:hanging="545"/>
        <w:spacing w:after="0" w:line="291" w:lineRule="auto"/>
        <w:tabs>
          <w:tab w:leader="none" w:pos="968" w:val="left"/>
        </w:tabs>
        <w:numPr>
          <w:ilvl w:val="0"/>
          <w:numId w:val="5"/>
        </w:numPr>
        <w:rPr>
          <w:rFonts w:ascii="Arial" w:cs="Arial" w:eastAsia="Arial" w:hAnsi="Arial"/>
          <w:sz w:val="16"/>
          <w:szCs w:val="16"/>
          <w:color w:val="auto"/>
        </w:rPr>
      </w:pPr>
      <w:r>
        <w:rPr>
          <w:rFonts w:ascii="Arial" w:cs="Arial" w:eastAsia="Arial" w:hAnsi="Arial"/>
          <w:sz w:val="16"/>
          <w:szCs w:val="16"/>
          <w:color w:val="auto"/>
        </w:rPr>
        <w:t>Blackstone Holdings III GP L.P. c/o The Blackstone Group Inc.</w:t>
      </w:r>
    </w:p>
    <w:p>
      <w:pPr>
        <w:ind w:left="980" w:right="5819"/>
        <w:spacing w:after="0" w:line="277" w:lineRule="auto"/>
        <w:rPr>
          <w:rFonts w:ascii="Arial" w:cs="Arial" w:eastAsia="Arial" w:hAnsi="Arial"/>
          <w:sz w:val="16"/>
          <w:szCs w:val="16"/>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6"/>
          <w:szCs w:val="16"/>
          <w:color w:val="auto"/>
        </w:rPr>
      </w:pPr>
    </w:p>
    <w:p>
      <w:pPr>
        <w:ind w:left="980" w:right="4539" w:hanging="545"/>
        <w:spacing w:after="0" w:line="258"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Blackstone Holdings III GP Management L.L.C. c/o The Blackstone Group Inc.</w:t>
      </w:r>
    </w:p>
    <w:p>
      <w:pPr>
        <w:spacing w:after="0" w:line="1" w:lineRule="exact"/>
        <w:rPr>
          <w:rFonts w:ascii="Arial" w:cs="Arial" w:eastAsia="Arial" w:hAnsi="Arial"/>
          <w:sz w:val="18"/>
          <w:szCs w:val="18"/>
          <w:color w:val="auto"/>
        </w:rPr>
      </w:pPr>
    </w:p>
    <w:p>
      <w:pPr>
        <w:ind w:left="980" w:right="581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8"/>
          <w:szCs w:val="18"/>
          <w:color w:val="auto"/>
        </w:rPr>
      </w:pPr>
    </w:p>
    <w:p>
      <w:pPr>
        <w:ind w:left="980" w:hanging="54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Blackstone Group Inc.</w:t>
      </w:r>
    </w:p>
    <w:p>
      <w:pPr>
        <w:spacing w:after="0" w:line="23" w:lineRule="exact"/>
        <w:rPr>
          <w:rFonts w:ascii="Arial" w:cs="Arial" w:eastAsia="Arial" w:hAnsi="Arial"/>
          <w:sz w:val="18"/>
          <w:szCs w:val="18"/>
          <w:color w:val="auto"/>
        </w:rPr>
      </w:pPr>
    </w:p>
    <w:p>
      <w:pPr>
        <w:ind w:left="980" w:right="5819"/>
        <w:spacing w:after="0" w:line="277" w:lineRule="auto"/>
        <w:rPr>
          <w:rFonts w:ascii="Arial" w:cs="Arial" w:eastAsia="Arial" w:hAnsi="Arial"/>
          <w:sz w:val="18"/>
          <w:szCs w:val="18"/>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8"/>
          <w:szCs w:val="18"/>
          <w:color w:val="auto"/>
        </w:rPr>
      </w:pPr>
    </w:p>
    <w:p>
      <w:pPr>
        <w:ind w:left="980" w:right="5239" w:hanging="545"/>
        <w:spacing w:after="0" w:line="274" w:lineRule="auto"/>
        <w:tabs>
          <w:tab w:leader="none" w:pos="968" w:val="left"/>
        </w:tabs>
        <w:numPr>
          <w:ilvl w:val="0"/>
          <w:numId w:val="5"/>
        </w:numPr>
        <w:rPr>
          <w:rFonts w:ascii="Arial" w:cs="Arial" w:eastAsia="Arial" w:hAnsi="Arial"/>
          <w:sz w:val="17"/>
          <w:szCs w:val="17"/>
          <w:color w:val="auto"/>
        </w:rPr>
      </w:pPr>
      <w:r>
        <w:rPr>
          <w:rFonts w:ascii="Arial" w:cs="Arial" w:eastAsia="Arial" w:hAnsi="Arial"/>
          <w:sz w:val="17"/>
          <w:szCs w:val="17"/>
          <w:color w:val="auto"/>
        </w:rPr>
        <w:t>Blackstone Group Management L.L.C. c/o The Blackstone Group Inc.</w:t>
      </w:r>
    </w:p>
    <w:p>
      <w:pPr>
        <w:ind w:left="980" w:right="5819"/>
        <w:spacing w:after="0" w:line="277" w:lineRule="auto"/>
        <w:rPr>
          <w:rFonts w:ascii="Arial" w:cs="Arial" w:eastAsia="Arial" w:hAnsi="Arial"/>
          <w:sz w:val="17"/>
          <w:szCs w:val="17"/>
          <w:color w:val="auto"/>
        </w:rPr>
      </w:pPr>
      <w:r>
        <w:rPr>
          <w:rFonts w:ascii="Arial" w:cs="Arial" w:eastAsia="Arial" w:hAnsi="Arial"/>
          <w:sz w:val="17"/>
          <w:szCs w:val="17"/>
          <w:color w:val="auto"/>
        </w:rPr>
        <w:t>345 Park Avenue New York, NY 10154 Citizenship: State of Delaware</w:t>
      </w:r>
    </w:p>
    <w:p>
      <w:pPr>
        <w:spacing w:after="0" w:line="200" w:lineRule="exact"/>
        <w:rPr>
          <w:rFonts w:ascii="Arial" w:cs="Arial" w:eastAsia="Arial" w:hAnsi="Arial"/>
          <w:sz w:val="17"/>
          <w:szCs w:val="17"/>
          <w:color w:val="auto"/>
        </w:rPr>
      </w:pPr>
    </w:p>
    <w:p>
      <w:pPr>
        <w:ind w:left="980" w:hanging="54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Stephen A. Schwarzman</w:t>
      </w:r>
    </w:p>
    <w:p>
      <w:pPr>
        <w:spacing w:after="0" w:line="23" w:lineRule="exact"/>
        <w:rPr>
          <w:rFonts w:ascii="Arial" w:cs="Arial" w:eastAsia="Arial" w:hAnsi="Arial"/>
          <w:sz w:val="18"/>
          <w:szCs w:val="18"/>
          <w:color w:val="auto"/>
        </w:rPr>
      </w:pPr>
    </w:p>
    <w:p>
      <w:pPr>
        <w:ind w:left="980" w:right="5819"/>
        <w:spacing w:after="0" w:line="250" w:lineRule="auto"/>
        <w:rPr>
          <w:rFonts w:ascii="Arial" w:cs="Arial" w:eastAsia="Arial" w:hAnsi="Arial"/>
          <w:sz w:val="18"/>
          <w:szCs w:val="18"/>
          <w:color w:val="auto"/>
        </w:rPr>
      </w:pPr>
      <w:r>
        <w:rPr>
          <w:rFonts w:ascii="Arial" w:cs="Arial" w:eastAsia="Arial" w:hAnsi="Arial"/>
          <w:sz w:val="18"/>
          <w:szCs w:val="18"/>
          <w:color w:val="auto"/>
        </w:rPr>
        <w:t>c/o The Blackstone Group Inc. 345 Park Avenue</w:t>
      </w:r>
    </w:p>
    <w:p>
      <w:pPr>
        <w:ind w:left="980" w:right="6159"/>
        <w:spacing w:after="0" w:line="323" w:lineRule="auto"/>
        <w:rPr>
          <w:rFonts w:ascii="Arial" w:cs="Arial" w:eastAsia="Arial" w:hAnsi="Arial"/>
          <w:sz w:val="18"/>
          <w:szCs w:val="18"/>
          <w:color w:val="auto"/>
        </w:rPr>
      </w:pPr>
      <w:r>
        <w:rPr>
          <w:rFonts w:ascii="Arial" w:cs="Arial" w:eastAsia="Arial" w:hAnsi="Arial"/>
          <w:sz w:val="16"/>
          <w:szCs w:val="16"/>
          <w:color w:val="auto"/>
        </w:rPr>
        <w:t>New York, NY 10154 Citizenship: United States</w:t>
      </w:r>
    </w:p>
    <w:p>
      <w:pPr>
        <w:sectPr>
          <w:pgSz w:w="11900" w:h="16838" w:orient="portrait"/>
          <w:cols w:equalWidth="0" w:num="1">
            <w:col w:w="9019"/>
          </w:cols>
          <w:pgMar w:left="1440" w:top="274" w:right="1440"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Refinitiv TW Holdings Ltd. and Refinitiv US PME LLC (collectively, the “Direct Holders”) directly hold the securities reported herein.</w:t>
      </w:r>
    </w:p>
    <w:p>
      <w:pPr>
        <w:spacing w:after="0" w:line="117"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Refinitiv US LLC is the controlling member of Refinitiv US PME LLC. Refinitiv US Holdings Inc. is the sole member of Refinitiv US LLC. Refinitiv Parent Limited is the sole shareholder of Refinitiv US Holdings Inc. and Refinitiv TW Holdings Ltd. 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w:t>
      </w:r>
    </w:p>
    <w:p>
      <w:pPr>
        <w:spacing w:after="0" w:line="85" w:lineRule="exact"/>
        <w:rPr>
          <w:sz w:val="20"/>
          <w:szCs w:val="20"/>
          <w:color w:val="auto"/>
        </w:rPr>
      </w:pPr>
    </w:p>
    <w:p>
      <w:pPr>
        <w:ind w:left="440" w:right="40"/>
        <w:spacing w:after="0" w:line="288" w:lineRule="auto"/>
        <w:rPr>
          <w:sz w:val="20"/>
          <w:szCs w:val="20"/>
          <w:color w:val="auto"/>
        </w:rPr>
      </w:pPr>
      <w:r>
        <w:rPr>
          <w:rFonts w:ascii="Arial" w:cs="Arial" w:eastAsia="Arial" w:hAnsi="Arial"/>
          <w:sz w:val="16"/>
          <w:szCs w:val="16"/>
          <w:color w:val="auto"/>
        </w:rPr>
        <w:t>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w:t>
      </w:r>
    </w:p>
    <w:p>
      <w:pPr>
        <w:ind w:left="440" w:right="400" w:firstLine="4"/>
        <w:spacing w:after="0" w:line="254"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color w:val="auto"/>
        </w:rPr>
        <w:t>GP L.P. is Blackstone Holdings III GP Management L.L.C. The sole member of Blackstone Holdings III GP Management L.L.C. is The Blackstone Group Inc. The sole holder of the Class C common stock of The Blackstone Group Inc. is Blackstone Group Management L.L.C. Blackstone Group Management L.L.C. is wholly-owned by Blackstone’s senior managing directors and controlled by its founder, Stephen A. Schwarzman.</w:t>
      </w:r>
    </w:p>
    <w:p>
      <w:pPr>
        <w:spacing w:after="0" w:line="82" w:lineRule="exact"/>
        <w:rPr>
          <w:sz w:val="20"/>
          <w:szCs w:val="20"/>
          <w:color w:val="auto"/>
        </w:rPr>
      </w:pPr>
    </w:p>
    <w:p>
      <w:pPr>
        <w:ind w:left="440" w:right="20"/>
        <w:spacing w:after="0" w:line="255" w:lineRule="auto"/>
        <w:rPr>
          <w:sz w:val="20"/>
          <w:szCs w:val="20"/>
          <w:color w:val="auto"/>
        </w:rPr>
      </w:pPr>
      <w:r>
        <w:rPr>
          <w:rFonts w:ascii="Arial" w:cs="Arial" w:eastAsia="Arial" w:hAnsi="Arial"/>
          <w:sz w:val="18"/>
          <w:szCs w:val="18"/>
          <w:color w:val="auto"/>
        </w:rPr>
        <w:t>Each such Reporting Person may be deemed to beneficially own the shares of Common Stock (as defined below) beneficially owned by the Direct Holders directly or indirectly controlled by it or him, but neither the filing of this Schedule 13G nor any of its contents shall be deemed to constitute an admission that any Reporting Person (other than the Direct Holders to the extent they directly hold Common Stock) is the beneficial owner of the Common Stock referred to herein for purposes of Section 13(d) of the Securities Exchange Act of 1934, as amended (the “Act”), or for any other purpose and each of the Reporting Persons expressly disclaims beneficial ownership of such shares. The filing of this statement should not be construed to be an admission that any member of the Reporting Persons are members of a “group” for the purposes of Sections 13(d) and 13(g) of the Act.</w:t>
      </w:r>
    </w:p>
    <w:p>
      <w:pPr>
        <w:spacing w:after="0" w:line="33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Class A Common Stock, par value $0.00001 per share (the “Class A Common Stock”).</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892672106</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440" w:right="40" w:firstLine="513"/>
        <w:spacing w:after="0" w:line="255" w:lineRule="auto"/>
        <w:rPr>
          <w:sz w:val="20"/>
          <w:szCs w:val="20"/>
          <w:color w:val="auto"/>
        </w:rPr>
      </w:pPr>
      <w:r>
        <w:rPr>
          <w:rFonts w:ascii="Arial" w:cs="Arial" w:eastAsia="Arial" w:hAnsi="Arial"/>
          <w:sz w:val="18"/>
          <w:szCs w:val="18"/>
          <w:color w:val="auto"/>
        </w:rPr>
        <w:t>Calculations of the percentage of shares of Class A Common Stock beneficially owned assume 63,674,649 shares of Class A Common Stock outstanding as of November 1, 2019, as reported in the Quarterly Report on Form 10-Q filed with the Securities and Exchange Commission on November 8, 2019, and also takes into account the shares of Class A Common Stock underlying any shares of Class B common stock of the Issuer (“Class B Common Stock”) or non-voting common units of Tradeweb Markets LLC, a subsidiary of the Issuer (“LLC Units”), held by Reporting Persons, as applicable. Each of the Reporting Persons may be deemed to be the beneficial owner of the shares of Class A Common Stock listed on such Reporting Person’s cover page.</w:t>
      </w:r>
    </w:p>
    <w:p>
      <w:pPr>
        <w:sectPr>
          <w:pgSz w:w="11900" w:h="16838" w:orient="portrait"/>
          <w:cols w:equalWidth="0" w:num="1">
            <w:col w:w="11020"/>
          </w:cols>
          <w:pgMar w:left="440" w:top="274" w:right="439" w:bottom="1440" w:gutter="0" w:footer="0" w:header="0"/>
        </w:sectPr>
      </w:pPr>
    </w:p>
    <w:bookmarkStart w:id="22" w:name="page23"/>
    <w:bookmarkEnd w:id="22"/>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Refinitiv TW Holdings Ltd. directly holds 96,933,192 shares of Class B Common Stock and Refinitiv US PME LLC directly holds 22,988,329 LLC Units. The Class B Common Stock is exchangeable for shares of Class A Common Stock on a one-for-one basis at the discretion of the holder. LLC Units may be exchanged for shares of Class A Common Stock or Class B Common Stock, in each case, on a one-for-one basis at the discretion of the holder.</w:t>
      </w:r>
    </w:p>
    <w:p>
      <w:pPr>
        <w:spacing w:after="0" w:line="7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right="320" w:firstLine="992"/>
        <w:spacing w:after="0" w:line="277" w:lineRule="auto"/>
        <w:rPr>
          <w:sz w:val="20"/>
          <w:szCs w:val="20"/>
          <w:color w:val="auto"/>
        </w:rPr>
      </w:pPr>
      <w:r>
        <w:rPr>
          <w:rFonts w:ascii="Arial" w:cs="Arial" w:eastAsia="Arial" w:hAnsi="Arial"/>
          <w:sz w:val="18"/>
          <w:szCs w:val="18"/>
          <w:color w:val="auto"/>
        </w:rPr>
        <w:t>Each of the Reporting Persons may be deemed to be the beneficial owner of the percentage of Class A Common Stock listed on such Reporting Person’s cover page.</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 Number of Shares as to which the Reporting Person has:</w:t>
      </w:r>
    </w:p>
    <w:p>
      <w:pPr>
        <w:spacing w:after="0" w:line="135" w:lineRule="exact"/>
        <w:rPr>
          <w:sz w:val="20"/>
          <w:szCs w:val="20"/>
          <w:color w:val="auto"/>
        </w:rPr>
      </w:pPr>
    </w:p>
    <w:p>
      <w:pPr>
        <w:ind w:left="2420" w:right="6040" w:hanging="985"/>
        <w:spacing w:after="0" w:line="431" w:lineRule="auto"/>
        <w:tabs>
          <w:tab w:leader="none" w:pos="1967"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power to vote or to direct the vote: See each cover page hereof.</w:t>
      </w:r>
    </w:p>
    <w:p>
      <w:pPr>
        <w:ind w:left="2420" w:right="5860" w:hanging="985"/>
        <w:spacing w:after="0" w:line="406" w:lineRule="auto"/>
        <w:tabs>
          <w:tab w:leader="none" w:pos="1967" w:val="left"/>
        </w:tabs>
        <w:numPr>
          <w:ilvl w:val="0"/>
          <w:numId w:val="7"/>
        </w:numPr>
        <w:rPr>
          <w:rFonts w:ascii="Arial" w:cs="Arial" w:eastAsia="Arial" w:hAnsi="Arial"/>
          <w:sz w:val="17"/>
          <w:szCs w:val="17"/>
          <w:color w:val="auto"/>
        </w:rPr>
      </w:pPr>
      <w:r>
        <w:rPr>
          <w:rFonts w:ascii="Arial" w:cs="Arial" w:eastAsia="Arial" w:hAnsi="Arial"/>
          <w:sz w:val="17"/>
          <w:szCs w:val="17"/>
          <w:color w:val="auto"/>
        </w:rPr>
        <w:t>Shared power to vote or to direct the vote: See each cover page hereof.</w:t>
      </w:r>
    </w:p>
    <w:p>
      <w:pPr>
        <w:ind w:left="2420" w:right="5140" w:hanging="985"/>
        <w:spacing w:after="0" w:line="406" w:lineRule="auto"/>
        <w:tabs>
          <w:tab w:leader="none" w:pos="1967"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each cover page hereof.</w:t>
      </w:r>
    </w:p>
    <w:p>
      <w:pPr>
        <w:ind w:left="2420" w:right="4960" w:hanging="985"/>
        <w:spacing w:after="0" w:line="402" w:lineRule="auto"/>
        <w:tabs>
          <w:tab w:leader="none" w:pos="1967"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each cover page hereof.</w:t>
      </w:r>
    </w:p>
    <w:p>
      <w:pPr>
        <w:spacing w:after="0" w:line="2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 w:firstLine="1433"/>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0" w:right="44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80"/>
          </w:cols>
          <w:pgMar w:left="440" w:top="274" w:right="57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Irving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Irving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Leith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Stephen Leith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REFINITIV US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Irving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Irving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US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Irving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Irving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Irving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Irving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Irving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Irving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BCP YORK HOLDINGS (DELAWARE)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BCP York Holdings GP (Delaware) L.L.C., its general</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24" w:lineRule="exact"/>
        <w:rPr>
          <w:sz w:val="20"/>
          <w:szCs w:val="20"/>
          <w:color w:val="auto"/>
        </w:rPr>
      </w:pPr>
    </w:p>
    <w:tbl>
      <w:tblPr>
        <w:tblLayout w:type="fixed"/>
        <w:tblInd w:w="4040" w:type="dxa"/>
        <w:tblCellMar>
          <w:top w:w="0" w:type="dxa"/>
          <w:left w:w="0" w:type="dxa"/>
          <w:bottom w:w="0" w:type="dxa"/>
          <w:right w:w="0" w:type="dxa"/>
        </w:tblCellMar>
      </w:tblPr>
      <w:tr>
        <w:trPr>
          <w:trHeight w:val="230"/>
        </w:trPr>
        <w:tc>
          <w:tcPr>
            <w:tcW w:w="3120" w:type="dxa"/>
            <w:vAlign w:val="bottom"/>
          </w:tcPr>
          <w:p>
            <w:pPr>
              <w:ind w:left="25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J. Brand</w:t>
            </w:r>
          </w:p>
        </w:tc>
      </w:tr>
      <w:tr>
        <w:trPr>
          <w:trHeight w:val="195"/>
        </w:trPr>
        <w:tc>
          <w:tcPr>
            <w:tcW w:w="3120" w:type="dxa"/>
            <w:vAlign w:val="bottom"/>
          </w:tcPr>
          <w:p>
            <w:pPr>
              <w:ind w:left="2580"/>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Martin J. Brand</w:t>
            </w:r>
          </w:p>
        </w:tc>
      </w:tr>
      <w:tr>
        <w:trPr>
          <w:trHeight w:val="230"/>
        </w:trPr>
        <w:tc>
          <w:tcPr>
            <w:tcW w:w="3120" w:type="dxa"/>
            <w:vAlign w:val="bottom"/>
          </w:tcPr>
          <w:p>
            <w:pPr>
              <w:ind w:left="2580"/>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5"/>
              </w:rPr>
              <w:t>[Tradeweb Markets Inc. - Schedule 13G]</w:t>
            </w:r>
          </w:p>
        </w:tc>
        <w:tc>
          <w:tcPr>
            <w:tcW w:w="38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BCP YORK HOLDINGS GP (DELAWARE)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J. Brand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Martin J. Brand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YORK SUBSIDIARY (CAYMAN)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Holdings Manager (Cayman) L.L.C., its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VII HOLDINGS MANAGER (CAYMAN)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MANAGEMENT ASSOCIATES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(CAYMAN) VII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GP L.L.C., its 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BCP VII GP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GP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GP Management L.L.C., its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tbl>
      <w:tblPr>
        <w:tblLayout w:type="fixed"/>
        <w:tblInd w:w="3040" w:type="dxa"/>
        <w:tblCellMar>
          <w:top w:w="0" w:type="dxa"/>
          <w:left w:w="0" w:type="dxa"/>
          <w:bottom w:w="0" w:type="dxa"/>
          <w:right w:w="0" w:type="dxa"/>
        </w:tblCellMar>
      </w:tblPr>
      <w:tr>
        <w:trPr>
          <w:trHeight w:val="230"/>
        </w:trPr>
        <w:tc>
          <w:tcPr>
            <w:tcW w:w="3120" w:type="dxa"/>
            <w:vAlign w:val="bottom"/>
          </w:tcPr>
          <w:p>
            <w:pPr>
              <w:ind w:left="25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3120" w:type="dxa"/>
            <w:vAlign w:val="bottom"/>
          </w:tcPr>
          <w:p>
            <w:pPr>
              <w:ind w:left="2580"/>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3120" w:type="dxa"/>
            <w:vAlign w:val="bottom"/>
          </w:tcPr>
          <w:p>
            <w:pPr>
              <w:ind w:left="2580"/>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5"/>
              </w:rPr>
              <w:t>[Tradeweb Markets Inc. - Schedule 13G]</w:t>
            </w:r>
          </w:p>
        </w:tc>
        <w:tc>
          <w:tcPr>
            <w:tcW w:w="3880" w:type="dxa"/>
            <w:vAlign w:val="bottom"/>
          </w:tcPr>
          <w:p>
            <w:pPr>
              <w:spacing w:after="0"/>
              <w:rPr>
                <w:sz w:val="24"/>
                <w:szCs w:val="24"/>
                <w:color w:val="auto"/>
              </w:rPr>
            </w:pPr>
          </w:p>
        </w:tc>
      </w:tr>
    </w:tbl>
    <w:p>
      <w:pPr>
        <w:sectPr>
          <w:pgSz w:w="11900" w:h="16838" w:orient="portrait"/>
          <w:cols w:equalWidth="0" w:num="1">
            <w:col w:w="10040"/>
          </w:cols>
          <w:pgMar w:left="1440" w:top="270" w:right="419" w:bottom="1440" w:gutter="0" w:footer="0" w:header="0"/>
        </w:sectPr>
      </w:pPr>
    </w:p>
    <w:bookmarkStart w:id="25" w:name="page26"/>
    <w:bookmarkEnd w:id="2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GP Management L.L.C., its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BLACKSTONE HOLDINGS III GP MANAGEMENT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BLACKSTONE GROUP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2795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Schwarzman</w:t>
      </w:r>
    </w:p>
    <w:p>
      <w:pPr>
        <w:spacing w:after="0" w:line="23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[Tradeweb Markets Inc. - Schedule 13G]</w:t>
      </w:r>
    </w:p>
    <w:p>
      <w:pPr>
        <w:sectPr>
          <w:pgSz w:w="11900" w:h="16838" w:orient="portrait"/>
          <w:cols w:equalWidth="0" w:num="1">
            <w:col w:w="10040"/>
          </w:cols>
          <w:pgMar w:left="1440" w:top="486" w:right="419" w:bottom="1440" w:gutter="0" w:footer="0" w:header="0"/>
        </w:sectPr>
      </w:pPr>
    </w:p>
    <w:bookmarkStart w:id="26" w:name="page27"/>
    <w:bookmarkEnd w:id="26"/>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LIST</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Exhibit A</w:t>
      </w:r>
      <w:r>
        <w:rPr>
          <w:sz w:val="20"/>
          <w:szCs w:val="20"/>
          <w:color w:val="auto"/>
        </w:rPr>
        <w:tab/>
      </w:r>
      <w:r>
        <w:rPr>
          <w:rFonts w:ascii="Arial" w:cs="Arial" w:eastAsia="Arial" w:hAnsi="Arial"/>
          <w:sz w:val="16"/>
          <w:szCs w:val="16"/>
          <w:color w:val="auto"/>
        </w:rPr>
        <w:t>Joint Filing Agreement, dated February 14, 2020, among the Reporting Persons (filed herewith).</w:t>
      </w:r>
    </w:p>
    <w:p>
      <w:pPr>
        <w:sectPr>
          <w:pgSz w:w="11900" w:h="16838" w:orient="portrait"/>
          <w:cols w:equalWidth="0" w:num="1">
            <w:col w:w="10019"/>
          </w:cols>
          <w:pgMar w:left="440" w:top="274"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Pursuant to and in accordance with the Securities Exchange Act of 1934, as amended, and the rules and regulations thereunder (the “Exchange Act”) the undersigned hereby agree to the joint filing of Refinitiv TW Holdings Ltd., Refinitiv US PME LLC, Refinitiv US LLC, Refinitiv US Holdings Inc., Refinitiv Parent Limited, Refinitiv Holdings Limited, BCP York Holdings (Delaware) L.P., BCP York Holdings GP (Delaware) L.L.C., BCP York Subsidiary (Cayman) L.P., BCP VII Holdings Manager (Cayman) L.L.C., Blackstone Management Associates (Cayman) VII L.P., BCP VII GP L.L.C., Blackstone Holdings III L.P., Blackstone Holdings III GP L.P., Blackstone Holdings III GP Management L.L.C., The Blackstone Group Inc., Blackstone Group Management L.L.C. and Stephen A. Schwarzman, on behalf of each of them of any filing required by such party under Section 13 of the Exchange Act or any rule or regulation thereunder (including any amendment, restatement, supplement, and/or exhibit thereto) with respect to securities of Tradeweb Markets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Agreement this 14</w:t>
      </w:r>
      <w:r>
        <w:rPr>
          <w:rFonts w:ascii="Arial" w:cs="Arial" w:eastAsia="Arial" w:hAnsi="Arial"/>
          <w:sz w:val="15"/>
          <w:szCs w:val="15"/>
          <w:color w:val="auto"/>
        </w:rPr>
        <w:t>th</w:t>
      </w:r>
      <w:r>
        <w:rPr>
          <w:rFonts w:ascii="Arial" w:cs="Arial" w:eastAsia="Arial" w:hAnsi="Arial"/>
          <w:sz w:val="18"/>
          <w:szCs w:val="18"/>
          <w:color w:val="auto"/>
        </w:rPr>
        <w:t xml:space="preserve"> day of February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Irving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Leith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Leith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Irving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REFINITIV US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Irving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[Tradeweb Markets Inc. – Joint Filing Agreement]</w:t>
      </w:r>
    </w:p>
    <w:p>
      <w:pPr>
        <w:sectPr>
          <w:pgSz w:w="11900" w:h="16838" w:orient="portrait"/>
          <w:cols w:equalWidth="0" w:num="1">
            <w:col w:w="11000"/>
          </w:cols>
          <w:pgMar w:left="440" w:top="125" w:right="459" w:bottom="1440" w:gutter="0" w:footer="0" w:header="0"/>
        </w:sectPr>
      </w:pPr>
    </w:p>
    <w:bookmarkStart w:id="28" w:name="page29"/>
    <w:bookmarkEnd w:id="2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REFINITIV PARENT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Irving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REFINITIV HOLDINGS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Irving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YORK HOLDINGS (DELAWARE)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BCP York Holdings GP (Delaware) L.L.C., its general</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Martin J. Brand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YORK HOLDINGS GP (DELAWARE)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Martin J. Brand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YORK SUBSIDIARY (CAYMAN)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Holdings Manager (Cayman) L.L.C., its</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VII HOLDINGS MANAGER (CAYMAN)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[Tradeweb Markets Inc. – Joint Filing Agreement]</w:t>
      </w:r>
    </w:p>
    <w:p>
      <w:pPr>
        <w:sectPr>
          <w:pgSz w:w="11900" w:h="16838" w:orient="portrait"/>
          <w:cols w:equalWidth="0" w:num="1">
            <w:col w:w="9860"/>
          </w:cols>
          <w:pgMar w:left="1440" w:top="270" w:right="59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MANAGEMENT ASSOCIATES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(CAYMAN) VII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BCP VII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BCP VII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BLACKSTONE HOLDINGS III GP MANAGEMENT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BLACKSTONE GROUP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G. Finley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Schwarzman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795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[Tradeweb Markets Inc. – Joint Filing Agreement]</w:t>
      </w:r>
    </w:p>
    <w:sectPr>
      <w:pgSz w:w="11900" w:h="16838" w:orient="portrait"/>
      <w:cols w:equalWidth="0" w:num="1">
        <w:col w:w="9840"/>
      </w:cols>
      <w:pgMar w:left="1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9"/>
    </w:lvl>
  </w:abstractNum>
  <w:abstractNum w:abstractNumId="5">
    <w:nsid w:val="2EB141F2"/>
    <w:multiLevelType w:val="hybridMultilevel"/>
    <w:lvl w:ilvl="0">
      <w:lvlJc w:val="left"/>
      <w:lvlText w:val="%1"/>
      <w:numFmt w:val="upperLetter"/>
      <w:start w:val="6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2020-02-14T14:44:00Z</dcterms:created>
  <dcterms:modified xsi:type="dcterms:W3CDTF">2020-02-14T14:44:00Z</dcterms:modified>
</cp:coreProperties>
</file>