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78" w:lineRule="exact"/>
        <w:rPr>
          <w:sz w:val="24"/>
          <w:szCs w:val="24"/>
          <w:color w:val="auto"/>
        </w:rPr>
      </w:pPr>
    </w:p>
    <w:p>
      <w:pPr>
        <w:ind w:left="354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28, 2022</w:t>
      </w:r>
    </w:p>
    <w:p>
      <w:pPr>
        <w:spacing w:after="0" w:line="26"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Tradeweb Markets Inc.</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charter)</w:t>
      </w:r>
    </w:p>
    <w:p>
      <w:pPr>
        <w:spacing w:after="0" w:line="22"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329" w:lineRule="exact"/>
        <w:rPr>
          <w:sz w:val="24"/>
          <w:szCs w:val="24"/>
          <w:color w:val="auto"/>
        </w:rPr>
      </w:pPr>
    </w:p>
    <w:tbl>
      <w:tblPr>
        <w:tblLayout w:type="fixed"/>
        <w:tblInd w:w="900" w:type="dxa"/>
        <w:tblCellMar>
          <w:top w:w="0" w:type="dxa"/>
          <w:left w:w="0" w:type="dxa"/>
          <w:bottom w:w="0" w:type="dxa"/>
          <w:right w:w="0" w:type="dxa"/>
        </w:tblCellMar>
      </w:tblPr>
      <w:tr>
        <w:trPr>
          <w:trHeight w:val="247"/>
        </w:trPr>
        <w:tc>
          <w:tcPr>
            <w:tcW w:w="408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24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0"/>
              </w:rPr>
              <w:t>001-38860</w:t>
            </w:r>
          </w:p>
        </w:tc>
        <w:tc>
          <w:tcPr>
            <w:tcW w:w="2640" w:type="dxa"/>
            <w:vAlign w:val="bottom"/>
          </w:tcPr>
          <w:p>
            <w:pPr>
              <w:jc w:val="right"/>
              <w:ind w:right="150"/>
              <w:spacing w:after="0"/>
              <w:rPr>
                <w:sz w:val="20"/>
                <w:szCs w:val="20"/>
                <w:color w:val="auto"/>
              </w:rPr>
            </w:pPr>
            <w:r>
              <w:rPr>
                <w:rFonts w:ascii="Arial" w:cs="Arial" w:eastAsia="Arial" w:hAnsi="Arial"/>
                <w:sz w:val="18"/>
                <w:szCs w:val="18"/>
                <w:b w:val="1"/>
                <w:bCs w:val="1"/>
                <w:color w:val="auto"/>
              </w:rPr>
              <w:t>83-2456358</w:t>
            </w:r>
          </w:p>
        </w:tc>
      </w:tr>
      <w:tr>
        <w:trPr>
          <w:trHeight w:val="203"/>
        </w:trPr>
        <w:tc>
          <w:tcPr>
            <w:tcW w:w="4080" w:type="dxa"/>
            <w:vAlign w:val="bottom"/>
          </w:tcPr>
          <w:p>
            <w:pPr>
              <w:jc w:val="center"/>
              <w:ind w:right="2050"/>
              <w:spacing w:after="0" w:line="203" w:lineRule="exact"/>
              <w:rPr>
                <w:sz w:val="20"/>
                <w:szCs w:val="20"/>
                <w:color w:val="auto"/>
              </w:rPr>
            </w:pPr>
            <w:r>
              <w:rPr>
                <w:rFonts w:ascii="Arial" w:cs="Arial" w:eastAsia="Arial" w:hAnsi="Arial"/>
                <w:sz w:val="18"/>
                <w:szCs w:val="18"/>
                <w:color w:val="auto"/>
                <w:w w:val="90"/>
              </w:rPr>
              <w:t>(State or Other Jurisdiction</w:t>
            </w:r>
          </w:p>
        </w:tc>
        <w:tc>
          <w:tcPr>
            <w:tcW w:w="2420" w:type="dxa"/>
            <w:vAlign w:val="bottom"/>
          </w:tcPr>
          <w:p>
            <w:pPr>
              <w:jc w:val="center"/>
              <w:ind w:right="1070"/>
              <w:spacing w:after="0" w:line="203" w:lineRule="exact"/>
              <w:rPr>
                <w:sz w:val="20"/>
                <w:szCs w:val="20"/>
                <w:color w:val="auto"/>
              </w:rPr>
            </w:pPr>
            <w:r>
              <w:rPr>
                <w:rFonts w:ascii="Arial" w:cs="Arial" w:eastAsia="Arial" w:hAnsi="Arial"/>
                <w:sz w:val="18"/>
                <w:szCs w:val="18"/>
                <w:color w:val="auto"/>
                <w:w w:val="93"/>
              </w:rPr>
              <w:t>(Commission</w:t>
            </w:r>
          </w:p>
        </w:tc>
        <w:tc>
          <w:tcPr>
            <w:tcW w:w="2640" w:type="dxa"/>
            <w:vAlign w:val="bottom"/>
          </w:tcPr>
          <w:p>
            <w:pPr>
              <w:jc w:val="center"/>
              <w:ind w:left="1190"/>
              <w:spacing w:after="0" w:line="203" w:lineRule="exact"/>
              <w:rPr>
                <w:sz w:val="20"/>
                <w:szCs w:val="20"/>
                <w:color w:val="auto"/>
              </w:rPr>
            </w:pPr>
            <w:r>
              <w:rPr>
                <w:rFonts w:ascii="Arial" w:cs="Arial" w:eastAsia="Arial" w:hAnsi="Arial"/>
                <w:sz w:val="18"/>
                <w:szCs w:val="18"/>
                <w:color w:val="auto"/>
                <w:w w:val="93"/>
              </w:rPr>
              <w:t>(I.R.S. Employer</w:t>
            </w:r>
          </w:p>
        </w:tc>
      </w:tr>
      <w:tr>
        <w:trPr>
          <w:trHeight w:val="243"/>
        </w:trPr>
        <w:tc>
          <w:tcPr>
            <w:tcW w:w="4080" w:type="dxa"/>
            <w:vAlign w:val="bottom"/>
          </w:tcPr>
          <w:p>
            <w:pPr>
              <w:jc w:val="center"/>
              <w:ind w:right="2050"/>
              <w:spacing w:after="0"/>
              <w:rPr>
                <w:sz w:val="20"/>
                <w:szCs w:val="20"/>
                <w:color w:val="auto"/>
              </w:rPr>
            </w:pPr>
            <w:r>
              <w:rPr>
                <w:rFonts w:ascii="Arial" w:cs="Arial" w:eastAsia="Arial" w:hAnsi="Arial"/>
                <w:sz w:val="18"/>
                <w:szCs w:val="18"/>
                <w:color w:val="auto"/>
                <w:w w:val="93"/>
              </w:rPr>
              <w:t>of Incorporation)</w:t>
            </w:r>
          </w:p>
        </w:tc>
        <w:tc>
          <w:tcPr>
            <w:tcW w:w="2420" w:type="dxa"/>
            <w:vAlign w:val="bottom"/>
          </w:tcPr>
          <w:p>
            <w:pPr>
              <w:jc w:val="center"/>
              <w:ind w:right="1070"/>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10"/>
              <w:spacing w:after="0"/>
              <w:rPr>
                <w:sz w:val="20"/>
                <w:szCs w:val="20"/>
                <w:color w:val="auto"/>
              </w:rPr>
            </w:pPr>
            <w:r>
              <w:rPr>
                <w:rFonts w:ascii="Arial" w:cs="Arial" w:eastAsia="Arial" w:hAnsi="Arial"/>
                <w:sz w:val="18"/>
                <w:szCs w:val="18"/>
                <w:color w:val="auto"/>
                <w:w w:val="95"/>
              </w:rPr>
              <w:t>Identification No.)</w:t>
            </w:r>
          </w:p>
        </w:tc>
      </w:tr>
      <w:tr>
        <w:trPr>
          <w:trHeight w:val="23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88"/>
              </w:rPr>
              <w:t>1177 Avenue of the Americas</w:t>
            </w:r>
          </w:p>
        </w:tc>
        <w:tc>
          <w:tcPr>
            <w:tcW w:w="242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248"/>
        </w:trPr>
        <w:tc>
          <w:tcPr>
            <w:tcW w:w="408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New York, New York</w:t>
            </w:r>
          </w:p>
        </w:tc>
        <w:tc>
          <w:tcPr>
            <w:tcW w:w="2420" w:type="dxa"/>
            <w:vAlign w:val="bottom"/>
          </w:tcPr>
          <w:p>
            <w:pPr>
              <w:spacing w:after="0"/>
              <w:rPr>
                <w:sz w:val="21"/>
                <w:szCs w:val="21"/>
                <w:color w:val="auto"/>
              </w:rPr>
            </w:pPr>
          </w:p>
        </w:tc>
        <w:tc>
          <w:tcPr>
            <w:tcW w:w="2640" w:type="dxa"/>
            <w:vAlign w:val="bottom"/>
          </w:tcPr>
          <w:p>
            <w:pPr>
              <w:jc w:val="right"/>
              <w:ind w:right="370"/>
              <w:spacing w:after="0"/>
              <w:rPr>
                <w:sz w:val="20"/>
                <w:szCs w:val="20"/>
                <w:color w:val="auto"/>
              </w:rPr>
            </w:pPr>
            <w:r>
              <w:rPr>
                <w:rFonts w:ascii="Arial" w:cs="Arial" w:eastAsia="Arial" w:hAnsi="Arial"/>
                <w:sz w:val="18"/>
                <w:szCs w:val="18"/>
                <w:b w:val="1"/>
                <w:bCs w:val="1"/>
                <w:color w:val="auto"/>
              </w:rPr>
              <w:t>10036</w:t>
            </w:r>
          </w:p>
        </w:tc>
      </w:tr>
      <w:tr>
        <w:trPr>
          <w:trHeight w:val="243"/>
        </w:trPr>
        <w:tc>
          <w:tcPr>
            <w:tcW w:w="650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640" w:type="dxa"/>
            <w:vAlign w:val="bottom"/>
          </w:tcPr>
          <w:p>
            <w:pPr>
              <w:jc w:val="center"/>
              <w:ind w:left="1190"/>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7" w:lineRule="exact"/>
        <w:rPr>
          <w:sz w:val="24"/>
          <w:szCs w:val="24"/>
          <w:color w:val="auto"/>
        </w:rPr>
      </w:pPr>
    </w:p>
    <w:p>
      <w:pPr>
        <w:ind w:left="352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w:t>
      </w:r>
    </w:p>
    <w:p>
      <w:pPr>
        <w:spacing w:after="0" w:line="23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5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86"/>
              </w:rPr>
              <w:t>Title of each class</w:t>
            </w:r>
          </w:p>
        </w:tc>
        <w:tc>
          <w:tcPr>
            <w:tcW w:w="326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w:t>
            </w:r>
          </w:p>
        </w:tc>
        <w:tc>
          <w:tcPr>
            <w:tcW w:w="0" w:type="dxa"/>
            <w:vAlign w:val="bottom"/>
          </w:tcPr>
          <w:p>
            <w:pPr>
              <w:spacing w:after="0"/>
              <w:rPr>
                <w:sz w:val="1"/>
                <w:szCs w:val="1"/>
                <w:color w:val="auto"/>
              </w:rPr>
            </w:pPr>
          </w:p>
        </w:tc>
      </w:tr>
      <w:tr>
        <w:trPr>
          <w:trHeight w:val="230"/>
        </w:trPr>
        <w:tc>
          <w:tcPr>
            <w:tcW w:w="4560" w:type="dxa"/>
            <w:vAlign w:val="bottom"/>
            <w:gridSpan w:val="2"/>
            <w:vMerge w:val="continue"/>
          </w:tcPr>
          <w:p>
            <w:pPr>
              <w:spacing w:after="0"/>
              <w:rPr>
                <w:sz w:val="19"/>
                <w:szCs w:val="19"/>
                <w:color w:val="auto"/>
              </w:rPr>
            </w:pPr>
          </w:p>
        </w:tc>
        <w:tc>
          <w:tcPr>
            <w:tcW w:w="3260" w:type="dxa"/>
            <w:vAlign w:val="bottom"/>
            <w:gridSpan w:val="2"/>
            <w:vMerge w:val="continue"/>
          </w:tcPr>
          <w:p>
            <w:pPr>
              <w:spacing w:after="0"/>
              <w:rPr>
                <w:sz w:val="19"/>
                <w:szCs w:val="19"/>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0" w:type="dxa"/>
            <w:vAlign w:val="bottom"/>
          </w:tcPr>
          <w:p>
            <w:pPr>
              <w:spacing w:after="0"/>
              <w:rPr>
                <w:sz w:val="1"/>
                <w:szCs w:val="1"/>
                <w:color w:val="auto"/>
              </w:rPr>
            </w:pPr>
          </w:p>
        </w:tc>
      </w:tr>
      <w:tr>
        <w:trPr>
          <w:trHeight w:val="224"/>
        </w:trPr>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28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652145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On April 28, 2022, Tradeweb Markets Inc. (the “Company”) issued a press release, a copy of which is furnished as Exhibit 99.1 hereto and incorporated herein by reference, announcing financial results for the quarter ended March 31, 2022.</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820" w:type="dxa"/>
            <w:vAlign w:val="bottom"/>
            <w:gridSpan w:val="3"/>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2"/>
        </w:trPr>
        <w:tc>
          <w:tcPr>
            <w:tcW w:w="2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Tradeweb Markets Inc., dated April 28, 2022.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20" w:type="dxa"/>
            <w:vAlign w:val="bottom"/>
            <w:shd w:val="clear" w:color="auto" w:fill="0000FF"/>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3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465"/>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6840" w:type="dxa"/>
            <w:vAlign w:val="bottom"/>
            <w:gridSpan w:val="2"/>
          </w:tcPr>
          <w:p>
            <w:pPr>
              <w:ind w:left="2880"/>
              <w:spacing w:after="0"/>
              <w:rPr>
                <w:sz w:val="20"/>
                <w:szCs w:val="20"/>
                <w:color w:val="auto"/>
              </w:rPr>
            </w:pPr>
            <w:r>
              <w:rPr>
                <w:rFonts w:ascii="Arial" w:cs="Arial" w:eastAsia="Arial" w:hAnsi="Arial"/>
                <w:sz w:val="18"/>
                <w:szCs w:val="18"/>
                <w:color w:val="auto"/>
              </w:rPr>
              <w:t>TRADEWEB MARKETS INC.</w:t>
            </w:r>
          </w:p>
        </w:tc>
      </w:tr>
      <w:tr>
        <w:trPr>
          <w:trHeight w:val="500"/>
        </w:trPr>
        <w:tc>
          <w:tcPr>
            <w:tcW w:w="4380" w:type="dxa"/>
            <w:vAlign w:val="bottom"/>
          </w:tcPr>
          <w:p>
            <w:pPr>
              <w:spacing w:after="0"/>
              <w:rPr>
                <w:sz w:val="20"/>
                <w:szCs w:val="20"/>
                <w:color w:val="auto"/>
              </w:rPr>
            </w:pPr>
            <w:r>
              <w:rPr>
                <w:rFonts w:ascii="Arial" w:cs="Arial" w:eastAsia="Arial" w:hAnsi="Arial"/>
                <w:sz w:val="18"/>
                <w:szCs w:val="18"/>
                <w:color w:val="auto"/>
              </w:rPr>
              <w:t>Date: April 28, 2022</w:t>
            </w:r>
          </w:p>
        </w:tc>
        <w:tc>
          <w:tcPr>
            <w:tcW w:w="6840" w:type="dxa"/>
            <w:vAlign w:val="bottom"/>
            <w:gridSpan w:val="2"/>
          </w:tcPr>
          <w:p>
            <w:pPr>
              <w:ind w:left="2880"/>
              <w:spacing w:after="0"/>
              <w:rPr>
                <w:sz w:val="20"/>
                <w:szCs w:val="20"/>
                <w:color w:val="auto"/>
              </w:rPr>
            </w:pPr>
            <w:r>
              <w:rPr>
                <w:rFonts w:ascii="Arial" w:cs="Arial" w:eastAsia="Arial" w:hAnsi="Arial"/>
                <w:sz w:val="18"/>
                <w:szCs w:val="18"/>
                <w:color w:val="auto"/>
              </w:rPr>
              <w:t>By:   /s/ Douglas Friedman</w:t>
            </w:r>
          </w:p>
        </w:tc>
      </w:tr>
      <w:tr>
        <w:trPr>
          <w:trHeight w:val="222"/>
        </w:trPr>
        <w:tc>
          <w:tcPr>
            <w:tcW w:w="43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3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Douglas Friedman</w:t>
            </w:r>
          </w:p>
        </w:tc>
      </w:tr>
      <w:tr>
        <w:trPr>
          <w:trHeight w:val="230"/>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Title: General Counsel</w:t>
            </w:r>
          </w:p>
        </w:tc>
      </w:tr>
    </w:tbl>
    <w:p>
      <w:pPr>
        <w:sectPr>
          <w:pgSz w:w="11900" w:h="16838" w:orient="portrait"/>
          <w:cols w:equalWidth="0" w:num="1">
            <w:col w:w="11240"/>
          </w:cols>
          <w:pgMar w:left="320" w:top="1134" w:right="339" w:bottom="1440" w:gutter="0" w:footer="0" w:header="0"/>
        </w:sectPr>
      </w:pPr>
    </w:p>
    <w:bookmarkStart w:id="3" w:name="page4"/>
    <w:bookmarkEnd w:id="3"/>
    <w:p>
      <w:pPr>
        <w:ind w:left="5860"/>
        <w:spacing w:after="0"/>
        <w:tabs>
          <w:tab w:leader="none" w:pos="8180" w:val="left"/>
        </w:tabs>
        <w:rPr>
          <w:sz w:val="20"/>
          <w:szCs w:val="20"/>
          <w:color w:val="auto"/>
        </w:rPr>
      </w:pPr>
      <w:r>
        <w:rPr>
          <w:rFonts w:ascii="Arial" w:cs="Arial" w:eastAsia="Arial" w:hAnsi="Arial"/>
          <w:sz w:val="16"/>
          <w:szCs w:val="16"/>
          <w:b w:val="1"/>
          <w:bCs w:val="1"/>
          <w:color w:val="083566"/>
        </w:rPr>
        <w:drawing>
          <wp:anchor simplePos="0" relativeHeight="251657728" behindDoc="1" locked="0" layoutInCell="0" allowOverlap="1">
            <wp:simplePos x="0" y="0"/>
            <wp:positionH relativeFrom="page">
              <wp:posOffset>216535</wp:posOffset>
            </wp:positionH>
            <wp:positionV relativeFrom="page">
              <wp:posOffset>106045</wp:posOffset>
            </wp:positionV>
            <wp:extent cx="1808480" cy="600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08480" cy="600075"/>
                    </a:xfrm>
                    <a:prstGeom prst="rect">
                      <a:avLst/>
                    </a:prstGeom>
                    <a:noFill/>
                  </pic:spPr>
                </pic:pic>
              </a:graphicData>
            </a:graphic>
          </wp:anchor>
        </w:drawing>
        <w:t>Investor Relations</w:t>
      </w:r>
      <w:r>
        <w:rPr>
          <w:sz w:val="20"/>
          <w:szCs w:val="20"/>
          <w:color w:val="auto"/>
        </w:rPr>
        <w:tab/>
      </w:r>
      <w:r>
        <w:rPr>
          <w:rFonts w:ascii="Arial" w:cs="Arial" w:eastAsia="Arial" w:hAnsi="Arial"/>
          <w:sz w:val="16"/>
          <w:szCs w:val="16"/>
          <w:b w:val="1"/>
          <w:bCs w:val="1"/>
          <w:color w:val="083566"/>
        </w:rPr>
        <w:t>Media Relations</w:t>
      </w:r>
    </w:p>
    <w:p>
      <w:pPr>
        <w:spacing w:after="0" w:line="2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Ashley Serrao + 1 646 430</w:t>
      </w:r>
      <w:r>
        <w:rPr>
          <w:sz w:val="20"/>
          <w:szCs w:val="20"/>
          <w:color w:val="auto"/>
        </w:rPr>
        <w:tab/>
      </w:r>
      <w:r>
        <w:rPr>
          <w:rFonts w:ascii="Arial" w:cs="Arial" w:eastAsia="Arial" w:hAnsi="Arial"/>
          <w:sz w:val="16"/>
          <w:szCs w:val="16"/>
          <w:color w:val="auto"/>
        </w:rPr>
        <w:t>Daniel Noonan + 1 646 767</w:t>
      </w:r>
    </w:p>
    <w:p>
      <w:pPr>
        <w:spacing w:after="0" w:line="5" w:lineRule="exact"/>
        <w:rPr>
          <w:sz w:val="20"/>
          <w:szCs w:val="20"/>
          <w:color w:val="auto"/>
        </w:rPr>
      </w:pPr>
    </w:p>
    <w:p>
      <w:pPr>
        <w:ind w:left="5860"/>
        <w:spacing w:after="0"/>
        <w:tabs>
          <w:tab w:leader="none" w:pos="8180" w:val="left"/>
        </w:tabs>
        <w:rPr>
          <w:sz w:val="20"/>
          <w:szCs w:val="20"/>
          <w:color w:val="auto"/>
        </w:rPr>
      </w:pPr>
      <w:r>
        <w:rPr>
          <w:rFonts w:ascii="Arial" w:cs="Arial" w:eastAsia="Arial" w:hAnsi="Arial"/>
          <w:sz w:val="16"/>
          <w:szCs w:val="16"/>
          <w:color w:val="auto"/>
        </w:rPr>
        <w:t>6027</w:t>
      </w:r>
      <w:r>
        <w:rPr>
          <w:sz w:val="20"/>
          <w:szCs w:val="20"/>
          <w:color w:val="auto"/>
        </w:rPr>
        <w:tab/>
      </w:r>
      <w:r>
        <w:rPr>
          <w:rFonts w:ascii="Arial" w:cs="Arial" w:eastAsia="Arial" w:hAnsi="Arial"/>
          <w:sz w:val="16"/>
          <w:szCs w:val="16"/>
          <w:color w:val="auto"/>
        </w:rPr>
        <w:t>4677</w:t>
      </w:r>
    </w:p>
    <w:p>
      <w:pPr>
        <w:spacing w:after="0" w:line="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Ashley.Serrao@Tradeweb.com  Daniel.Noonan@Tradeweb.com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ADCB"/>
        </w:rPr>
        <w:t>TRADEWEB REPORTS FIRST QUARTER 2022 FINANCIAL RESULTS</w:t>
      </w:r>
    </w:p>
    <w:p>
      <w:pPr>
        <w:spacing w:after="0" w:line="224" w:lineRule="exact"/>
        <w:rPr>
          <w:sz w:val="20"/>
          <w:szCs w:val="20"/>
          <w:color w:val="auto"/>
        </w:rPr>
      </w:pPr>
    </w:p>
    <w:p>
      <w:pPr>
        <w:ind w:left="20" w:right="120"/>
        <w:spacing w:after="0" w:line="286" w:lineRule="auto"/>
        <w:rPr>
          <w:sz w:val="20"/>
          <w:szCs w:val="20"/>
          <w:color w:val="auto"/>
        </w:rPr>
      </w:pPr>
      <w:r>
        <w:rPr>
          <w:rFonts w:ascii="Arial" w:cs="Arial" w:eastAsia="Arial" w:hAnsi="Arial"/>
          <w:sz w:val="16"/>
          <w:szCs w:val="16"/>
          <w:b w:val="1"/>
          <w:bCs w:val="1"/>
          <w:color w:val="auto"/>
        </w:rPr>
        <w:t xml:space="preserve">New York, April 28, 2022 </w:t>
      </w:r>
      <w:r>
        <w:rPr>
          <w:rFonts w:ascii="Arial" w:cs="Arial" w:eastAsia="Arial" w:hAnsi="Arial"/>
          <w:sz w:val="16"/>
          <w:szCs w:val="16"/>
          <w:color w:val="auto"/>
        </w:rPr>
        <w:t>– Tradeweb Markets Inc. (Nasdaq: TW), a leading, global operator of electronic marketplaces for rates, credit, equities and</w:t>
      </w:r>
      <w:r>
        <w:rPr>
          <w:rFonts w:ascii="Arial" w:cs="Arial" w:eastAsia="Arial" w:hAnsi="Arial"/>
          <w:sz w:val="16"/>
          <w:szCs w:val="16"/>
          <w:b w:val="1"/>
          <w:bCs w:val="1"/>
          <w:color w:val="auto"/>
        </w:rPr>
        <w:t xml:space="preserve"> </w:t>
      </w:r>
      <w:r>
        <w:rPr>
          <w:rFonts w:ascii="Arial" w:cs="Arial" w:eastAsia="Arial" w:hAnsi="Arial"/>
          <w:sz w:val="16"/>
          <w:szCs w:val="16"/>
          <w:color w:val="auto"/>
        </w:rPr>
        <w:t>money markets, today reported financial results for the quarter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59055</wp:posOffset>
            </wp:positionV>
            <wp:extent cx="3086100" cy="258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580005"/>
                    </a:xfrm>
                    <a:prstGeom prst="rect">
                      <a:avLst/>
                    </a:prstGeom>
                    <a:noFill/>
                  </pic:spPr>
                </pic:pic>
              </a:graphicData>
            </a:graphic>
          </wp:anchor>
        </w:drawing>
      </w:r>
    </w:p>
    <w:p>
      <w:pPr>
        <w:sectPr>
          <w:pgSz w:w="11900" w:h="16838" w:orient="portrait"/>
          <w:cols w:equalWidth="0" w:num="1">
            <w:col w:w="10820"/>
          </w:cols>
          <w:pgMar w:left="320" w:top="283" w:right="759" w:bottom="1440" w:gutter="0" w:footer="0" w:header="0"/>
        </w:sectPr>
      </w:pPr>
    </w:p>
    <w:p>
      <w:pPr>
        <w:spacing w:after="0" w:line="102" w:lineRule="exact"/>
        <w:rPr>
          <w:sz w:val="20"/>
          <w:szCs w:val="20"/>
          <w:color w:val="auto"/>
        </w:rPr>
      </w:pPr>
    </w:p>
    <w:p>
      <w:pPr>
        <w:ind w:left="20" w:right="560"/>
        <w:spacing w:after="0" w:line="286" w:lineRule="auto"/>
        <w:rPr>
          <w:sz w:val="20"/>
          <w:szCs w:val="20"/>
          <w:color w:val="auto"/>
        </w:rPr>
      </w:pPr>
      <w:r>
        <w:rPr>
          <w:rFonts w:ascii="Arial" w:cs="Arial" w:eastAsia="Arial" w:hAnsi="Arial"/>
          <w:sz w:val="16"/>
          <w:szCs w:val="16"/>
          <w:b w:val="1"/>
          <w:bCs w:val="1"/>
          <w:color w:val="auto"/>
        </w:rPr>
        <w:t xml:space="preserve">$311.5 million </w:t>
      </w:r>
      <w:r>
        <w:rPr>
          <w:rFonts w:ascii="Arial" w:cs="Arial" w:eastAsia="Arial" w:hAnsi="Arial"/>
          <w:sz w:val="16"/>
          <w:szCs w:val="16"/>
          <w:color w:val="auto"/>
        </w:rPr>
        <w:t>quarterly revenues increased</w:t>
      </w:r>
      <w:r>
        <w:rPr>
          <w:rFonts w:ascii="Arial" w:cs="Arial" w:eastAsia="Arial" w:hAnsi="Arial"/>
          <w:sz w:val="16"/>
          <w:szCs w:val="16"/>
          <w:b w:val="1"/>
          <w:bCs w:val="1"/>
          <w:color w:val="auto"/>
        </w:rPr>
        <w:t xml:space="preserve"> 13.9% </w:t>
      </w:r>
      <w:r>
        <w:rPr>
          <w:rFonts w:ascii="Arial" w:cs="Arial" w:eastAsia="Arial" w:hAnsi="Arial"/>
          <w:sz w:val="16"/>
          <w:szCs w:val="16"/>
          <w:color w:val="auto"/>
        </w:rPr>
        <w:t>(</w:t>
      </w:r>
      <w:r>
        <w:rPr>
          <w:rFonts w:ascii="Arial" w:cs="Arial" w:eastAsia="Arial" w:hAnsi="Arial"/>
          <w:sz w:val="16"/>
          <w:szCs w:val="16"/>
          <w:b w:val="1"/>
          <w:bCs w:val="1"/>
          <w:color w:val="auto"/>
        </w:rPr>
        <w:t xml:space="preserve">15.9%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61" w:lineRule="exact"/>
        <w:rPr>
          <w:sz w:val="20"/>
          <w:szCs w:val="20"/>
          <w:color w:val="auto"/>
        </w:rPr>
      </w:pPr>
    </w:p>
    <w:p>
      <w:pPr>
        <w:ind w:left="20" w:right="140"/>
        <w:spacing w:after="0" w:line="256" w:lineRule="auto"/>
        <w:rPr>
          <w:sz w:val="20"/>
          <w:szCs w:val="20"/>
          <w:color w:val="auto"/>
        </w:rPr>
      </w:pPr>
      <w:r>
        <w:rPr>
          <w:rFonts w:ascii="Arial" w:cs="Arial" w:eastAsia="Arial" w:hAnsi="Arial"/>
          <w:sz w:val="16"/>
          <w:szCs w:val="16"/>
          <w:b w:val="1"/>
          <w:bCs w:val="1"/>
          <w:color w:val="auto"/>
        </w:rPr>
        <w:t xml:space="preserve">$1.2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10.9% </w:t>
      </w:r>
      <w:r>
        <w:rPr>
          <w:rFonts w:ascii="Arial" w:cs="Arial" w:eastAsia="Arial" w:hAnsi="Arial"/>
          <w:sz w:val="16"/>
          <w:szCs w:val="16"/>
          <w:color w:val="auto"/>
        </w:rPr>
        <w:t>compared to prior year period, with record ADV in U.S. and European government bonds; swaps/swaptions ≥ 1-year; fully electronic U.S. High Grade and fully electronic U.S. High Yield credit; European credit; U.S. and European ETFs; and Repurchase Agreements</w:t>
      </w:r>
    </w:p>
    <w:p>
      <w:pPr>
        <w:spacing w:after="0" w:line="99" w:lineRule="exact"/>
        <w:rPr>
          <w:sz w:val="20"/>
          <w:szCs w:val="20"/>
          <w:color w:val="auto"/>
        </w:rPr>
      </w:pPr>
    </w:p>
    <w:p>
      <w:pPr>
        <w:ind w:left="20"/>
        <w:spacing w:after="0" w:line="286" w:lineRule="auto"/>
        <w:rPr>
          <w:sz w:val="20"/>
          <w:szCs w:val="20"/>
          <w:color w:val="auto"/>
        </w:rPr>
      </w:pPr>
      <w:r>
        <w:rPr>
          <w:rFonts w:ascii="Arial" w:cs="Arial" w:eastAsia="Arial" w:hAnsi="Arial"/>
          <w:sz w:val="16"/>
          <w:szCs w:val="16"/>
          <w:b w:val="1"/>
          <w:bCs w:val="1"/>
          <w:color w:val="auto"/>
        </w:rPr>
        <w:t xml:space="preserve">$97.4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$115.1 million </w:t>
      </w:r>
      <w:r>
        <w:rPr>
          <w:rFonts w:ascii="Arial" w:cs="Arial" w:eastAsia="Arial" w:hAnsi="Arial"/>
          <w:sz w:val="16"/>
          <w:szCs w:val="16"/>
          <w:color w:val="auto"/>
        </w:rPr>
        <w:t>adjusted net income for the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increases of </w:t>
      </w:r>
      <w:r>
        <w:rPr>
          <w:rFonts w:ascii="Arial" w:cs="Arial" w:eastAsia="Arial" w:hAnsi="Arial"/>
          <w:sz w:val="16"/>
          <w:szCs w:val="16"/>
          <w:b w:val="1"/>
          <w:bCs w:val="1"/>
          <w:color w:val="auto"/>
        </w:rPr>
        <w:t>19.5%</w:t>
      </w:r>
      <w:r>
        <w:rPr>
          <w:rFonts w:ascii="Arial" w:cs="Arial" w:eastAsia="Arial" w:hAnsi="Arial"/>
          <w:sz w:val="16"/>
          <w:szCs w:val="16"/>
          <w:color w:val="auto"/>
        </w:rPr>
        <w:t xml:space="preserve"> and </w:t>
      </w:r>
      <w:r>
        <w:rPr>
          <w:rFonts w:ascii="Arial" w:cs="Arial" w:eastAsia="Arial" w:hAnsi="Arial"/>
          <w:sz w:val="16"/>
          <w:szCs w:val="16"/>
          <w:b w:val="1"/>
          <w:bCs w:val="1"/>
          <w:color w:val="auto"/>
        </w:rPr>
        <w:t>13.3%</w:t>
      </w:r>
      <w:r>
        <w:rPr>
          <w:rFonts w:ascii="Arial" w:cs="Arial" w:eastAsia="Arial" w:hAnsi="Arial"/>
          <w:sz w:val="16"/>
          <w:szCs w:val="16"/>
          <w:color w:val="auto"/>
        </w:rPr>
        <w:t xml:space="preserve"> respectively from prior year period</w:t>
      </w:r>
    </w:p>
    <w:p>
      <w:pPr>
        <w:spacing w:after="0" w:line="61" w:lineRule="exact"/>
        <w:rPr>
          <w:sz w:val="20"/>
          <w:szCs w:val="20"/>
          <w:color w:val="auto"/>
        </w:rPr>
      </w:pPr>
    </w:p>
    <w:p>
      <w:pPr>
        <w:ind w:left="20" w:right="240"/>
        <w:spacing w:after="0" w:line="286" w:lineRule="auto"/>
        <w:rPr>
          <w:sz w:val="20"/>
          <w:szCs w:val="20"/>
          <w:color w:val="auto"/>
        </w:rPr>
      </w:pPr>
      <w:r>
        <w:rPr>
          <w:rFonts w:ascii="Arial" w:cs="Arial" w:eastAsia="Arial" w:hAnsi="Arial"/>
          <w:sz w:val="16"/>
          <w:szCs w:val="16"/>
          <w:b w:val="1"/>
          <w:bCs w:val="1"/>
          <w:color w:val="auto"/>
        </w:rPr>
        <w:t xml:space="preserve">51.6% </w:t>
      </w:r>
      <w:r>
        <w:rPr>
          <w:rFonts w:ascii="Arial" w:cs="Arial" w:eastAsia="Arial" w:hAnsi="Arial"/>
          <w:sz w:val="16"/>
          <w:szCs w:val="16"/>
          <w:color w:val="auto"/>
        </w:rPr>
        <w:t>adjusted EBITDA margin or</w:t>
      </w:r>
      <w:r>
        <w:rPr>
          <w:rFonts w:ascii="Arial" w:cs="Arial" w:eastAsia="Arial" w:hAnsi="Arial"/>
          <w:sz w:val="16"/>
          <w:szCs w:val="16"/>
          <w:b w:val="1"/>
          <w:bCs w:val="1"/>
          <w:color w:val="auto"/>
        </w:rPr>
        <w:t xml:space="preserve"> $160.6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52.0% or $142.1 million respectively for prior year period</w:t>
      </w:r>
    </w:p>
    <w:p>
      <w:pPr>
        <w:spacing w:after="0" w:line="61" w:lineRule="exact"/>
        <w:rPr>
          <w:sz w:val="20"/>
          <w:szCs w:val="20"/>
          <w:color w:val="auto"/>
        </w:rPr>
      </w:pPr>
    </w:p>
    <w:p>
      <w:pPr>
        <w:ind w:left="20" w:right="540"/>
        <w:spacing w:after="0" w:line="286" w:lineRule="auto"/>
        <w:rPr>
          <w:sz w:val="20"/>
          <w:szCs w:val="20"/>
          <w:color w:val="auto"/>
        </w:rPr>
      </w:pPr>
      <w:r>
        <w:rPr>
          <w:rFonts w:ascii="Arial" w:cs="Arial" w:eastAsia="Arial" w:hAnsi="Arial"/>
          <w:sz w:val="16"/>
          <w:szCs w:val="16"/>
          <w:b w:val="1"/>
          <w:bCs w:val="1"/>
          <w:color w:val="auto"/>
        </w:rPr>
        <w:t xml:space="preserve">$0.40 </w:t>
      </w:r>
      <w:r>
        <w:rPr>
          <w:rFonts w:ascii="Arial" w:cs="Arial" w:eastAsia="Arial" w:hAnsi="Arial"/>
          <w:sz w:val="16"/>
          <w:szCs w:val="16"/>
          <w:color w:val="auto"/>
        </w:rPr>
        <w:t>diluted earnings per share (“Diluted EPS”) for the quarter and</w:t>
      </w:r>
      <w:r>
        <w:rPr>
          <w:rFonts w:ascii="Arial" w:cs="Arial" w:eastAsia="Arial" w:hAnsi="Arial"/>
          <w:sz w:val="16"/>
          <w:szCs w:val="16"/>
          <w:b w:val="1"/>
          <w:bCs w:val="1"/>
          <w:color w:val="auto"/>
        </w:rPr>
        <w:t xml:space="preserve"> $0.48 </w:t>
      </w:r>
      <w:r>
        <w:rPr>
          <w:rFonts w:ascii="Arial" w:cs="Arial" w:eastAsia="Arial" w:hAnsi="Arial"/>
          <w:sz w:val="16"/>
          <w:szCs w:val="16"/>
          <w:color w:val="auto"/>
        </w:rPr>
        <w:t>adjusted diluted earnings per share</w:t>
      </w:r>
    </w:p>
    <w:p>
      <w:pPr>
        <w:spacing w:after="0" w:line="75" w:lineRule="exact"/>
        <w:rPr>
          <w:sz w:val="20"/>
          <w:szCs w:val="20"/>
          <w:color w:val="auto"/>
        </w:rPr>
      </w:pPr>
    </w:p>
    <w:p>
      <w:pPr>
        <w:ind w:left="20" w:right="540"/>
        <w:spacing w:after="0" w:line="286" w:lineRule="auto"/>
        <w:rPr>
          <w:sz w:val="20"/>
          <w:szCs w:val="20"/>
          <w:color w:val="auto"/>
        </w:rPr>
      </w:pPr>
      <w:r>
        <w:rPr>
          <w:rFonts w:ascii="Arial" w:cs="Arial" w:eastAsia="Arial" w:hAnsi="Arial"/>
          <w:sz w:val="16"/>
          <w:szCs w:val="16"/>
          <w:b w:val="1"/>
          <w:bCs w:val="1"/>
          <w:color w:val="auto"/>
        </w:rPr>
        <w:t xml:space="preserve">$0.08 </w:t>
      </w:r>
      <w:r>
        <w:rPr>
          <w:rFonts w:ascii="Arial" w:cs="Arial" w:eastAsia="Arial" w:hAnsi="Arial"/>
          <w:sz w:val="16"/>
          <w:szCs w:val="16"/>
          <w:color w:val="auto"/>
        </w:rPr>
        <w:t>per share quarterly cash dividend declared;</w:t>
      </w:r>
      <w:r>
        <w:rPr>
          <w:rFonts w:ascii="Arial" w:cs="Arial" w:eastAsia="Arial" w:hAnsi="Arial"/>
          <w:sz w:val="16"/>
          <w:szCs w:val="16"/>
          <w:b w:val="1"/>
          <w:bCs w:val="1"/>
          <w:color w:val="auto"/>
        </w:rPr>
        <w:t xml:space="preserve"> $47.3 million </w:t>
      </w:r>
      <w:r>
        <w:rPr>
          <w:rFonts w:ascii="Arial" w:cs="Arial" w:eastAsia="Arial" w:hAnsi="Arial"/>
          <w:sz w:val="16"/>
          <w:szCs w:val="16"/>
          <w:color w:val="auto"/>
        </w:rPr>
        <w:t>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repurchased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0"/>
        <w:spacing w:after="0" w:line="243" w:lineRule="auto"/>
        <w:rPr>
          <w:sz w:val="20"/>
          <w:szCs w:val="20"/>
          <w:color w:val="auto"/>
        </w:rPr>
      </w:pPr>
      <w:r>
        <w:rPr>
          <w:rFonts w:ascii="Arial" w:cs="Arial" w:eastAsia="Arial" w:hAnsi="Arial"/>
          <w:sz w:val="20"/>
          <w:szCs w:val="20"/>
          <w:b w:val="1"/>
          <w:bCs w:val="1"/>
          <w:color w:val="00497F"/>
        </w:rPr>
        <w:t>Lee Olesky, Chairman and CEO, Tradeweb Markets:</w:t>
      </w:r>
    </w:p>
    <w:p>
      <w:pPr>
        <w:spacing w:after="0" w:line="2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“Tradeweb surpassed $300 million in quarterly revenue for the first time in our history, showcasing the diversity of our business with strong contributions from rates, credit and equities. Increased rates volatility in the first quarter of 2022 contributed to record volumes in U.S. Treasuries, European government bonds and swaps. Credit delivered a record revenue quarter driven by broad-based product growth and strong corporate bond client engagement across RFQ, Tradeweb AllTrade, and Portfolio Trading – which saw a ~60% YoY increase in the number of firms using the tool. In February, our board announced succession plans for the company; I was honored to be appointed Chairman, and I am tremendously excited that my longtime partner Billy Hult will succeed me as CEO on January 1, 2023. Tradeweb has an outstanding leadership team and we believe we are well positioned for the future.”</w:t>
      </w:r>
    </w:p>
    <w:p>
      <w:pPr>
        <w:spacing w:after="0" w:line="200" w:lineRule="exact"/>
        <w:rPr>
          <w:sz w:val="20"/>
          <w:szCs w:val="20"/>
          <w:color w:val="auto"/>
        </w:rPr>
      </w:pPr>
    </w:p>
    <w:p>
      <w:pPr>
        <w:sectPr>
          <w:pgSz w:w="11900" w:h="16838" w:orient="portrait"/>
          <w:cols w:equalWidth="0" w:num="2">
            <w:col w:w="5860" w:space="200"/>
            <w:col w:w="4760"/>
          </w:cols>
          <w:pgMar w:left="320" w:top="283" w:right="759" w:bottom="1440" w:gutter="0" w:footer="0" w:header="0"/>
          <w:type w:val="continuous"/>
        </w:sect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40" w:type="dxa"/>
            <w:vAlign w:val="bottom"/>
            <w:shd w:val="clear" w:color="auto" w:fill="083566"/>
          </w:tcPr>
          <w:p>
            <w:pPr>
              <w:spacing w:after="0"/>
              <w:rPr>
                <w:sz w:val="17"/>
                <w:szCs w:val="17"/>
                <w:color w:val="auto"/>
              </w:rPr>
            </w:pPr>
          </w:p>
        </w:tc>
        <w:tc>
          <w:tcPr>
            <w:tcW w:w="260" w:type="dxa"/>
            <w:vAlign w:val="bottom"/>
            <w:shd w:val="clear" w:color="auto" w:fill="083566"/>
          </w:tcPr>
          <w:p>
            <w:pPr>
              <w:spacing w:after="0"/>
              <w:rPr>
                <w:sz w:val="17"/>
                <w:szCs w:val="17"/>
                <w:color w:val="auto"/>
              </w:rPr>
            </w:pPr>
          </w:p>
        </w:tc>
        <w:tc>
          <w:tcPr>
            <w:tcW w:w="760" w:type="dxa"/>
            <w:vAlign w:val="bottom"/>
            <w:shd w:val="clear" w:color="auto" w:fill="083566"/>
          </w:tcPr>
          <w:p>
            <w:pPr>
              <w:spacing w:after="0"/>
              <w:rPr>
                <w:sz w:val="17"/>
                <w:szCs w:val="17"/>
                <w:color w:val="auto"/>
              </w:rPr>
            </w:pPr>
          </w:p>
        </w:tc>
        <w:tc>
          <w:tcPr>
            <w:tcW w:w="300" w:type="dxa"/>
            <w:vAlign w:val="bottom"/>
            <w:shd w:val="clear" w:color="auto" w:fill="083566"/>
          </w:tcPr>
          <w:p>
            <w:pPr>
              <w:spacing w:after="0"/>
              <w:rPr>
                <w:sz w:val="17"/>
                <w:szCs w:val="17"/>
                <w:color w:val="auto"/>
              </w:rPr>
            </w:pPr>
          </w:p>
        </w:tc>
        <w:tc>
          <w:tcPr>
            <w:tcW w:w="860" w:type="dxa"/>
            <w:vAlign w:val="bottom"/>
            <w:shd w:val="clear" w:color="auto" w:fill="083566"/>
          </w:tcPr>
          <w:p>
            <w:pPr>
              <w:spacing w:after="0"/>
              <w:rPr>
                <w:sz w:val="17"/>
                <w:szCs w:val="17"/>
                <w:color w:val="auto"/>
              </w:rPr>
            </w:pPr>
          </w:p>
        </w:tc>
        <w:tc>
          <w:tcPr>
            <w:tcW w:w="960" w:type="dxa"/>
            <w:vAlign w:val="bottom"/>
            <w:shd w:val="clear" w:color="auto" w:fill="083566"/>
          </w:tcPr>
          <w:p>
            <w:pPr>
              <w:spacing w:after="0"/>
              <w:rPr>
                <w:sz w:val="17"/>
                <w:szCs w:val="17"/>
                <w:color w:val="auto"/>
              </w:rPr>
            </w:pPr>
          </w:p>
        </w:tc>
        <w:tc>
          <w:tcPr>
            <w:tcW w:w="1000" w:type="dxa"/>
            <w:vAlign w:val="bottom"/>
            <w:gridSpan w:val="2"/>
            <w:shd w:val="clear" w:color="auto" w:fill="083566"/>
          </w:tcPr>
          <w:p>
            <w:pPr>
              <w:ind w:left="180"/>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580" w:type="dxa"/>
            <w:vAlign w:val="bottom"/>
            <w:shd w:val="clear" w:color="auto" w:fill="083566"/>
          </w:tcPr>
          <w:p>
            <w:pPr>
              <w:spacing w:after="0"/>
              <w:rPr>
                <w:sz w:val="17"/>
                <w:szCs w:val="17"/>
                <w:color w:val="auto"/>
              </w:rPr>
            </w:pPr>
          </w:p>
        </w:tc>
        <w:tc>
          <w:tcPr>
            <w:tcW w:w="220" w:type="dxa"/>
            <w:vAlign w:val="bottom"/>
            <w:shd w:val="clear" w:color="auto" w:fill="083566"/>
          </w:tcPr>
          <w:p>
            <w:pPr>
              <w:spacing w:after="0"/>
              <w:rPr>
                <w:sz w:val="17"/>
                <w:szCs w:val="17"/>
                <w:color w:val="auto"/>
              </w:rPr>
            </w:pPr>
          </w:p>
        </w:tc>
        <w:tc>
          <w:tcPr>
            <w:tcW w:w="78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60" w:type="dxa"/>
            <w:vAlign w:val="bottom"/>
            <w:shd w:val="clear" w:color="auto" w:fill="083566"/>
          </w:tcPr>
          <w:p>
            <w:pPr>
              <w:spacing w:after="0"/>
              <w:rPr>
                <w:sz w:val="16"/>
                <w:szCs w:val="16"/>
                <w:color w:val="auto"/>
              </w:rPr>
            </w:pPr>
          </w:p>
        </w:tc>
        <w:tc>
          <w:tcPr>
            <w:tcW w:w="760" w:type="dxa"/>
            <w:vAlign w:val="bottom"/>
            <w:shd w:val="clear" w:color="auto" w:fill="083566"/>
          </w:tcPr>
          <w:p>
            <w:pPr>
              <w:spacing w:after="0"/>
              <w:rPr>
                <w:sz w:val="16"/>
                <w:szCs w:val="16"/>
                <w:color w:val="auto"/>
              </w:rPr>
            </w:pPr>
          </w:p>
        </w:tc>
        <w:tc>
          <w:tcPr>
            <w:tcW w:w="300" w:type="dxa"/>
            <w:vAlign w:val="bottom"/>
            <w:shd w:val="clear" w:color="auto" w:fill="083566"/>
          </w:tcPr>
          <w:p>
            <w:pPr>
              <w:spacing w:after="0"/>
              <w:rPr>
                <w:sz w:val="16"/>
                <w:szCs w:val="16"/>
                <w:color w:val="auto"/>
              </w:rPr>
            </w:pPr>
          </w:p>
        </w:tc>
        <w:tc>
          <w:tcPr>
            <w:tcW w:w="860" w:type="dxa"/>
            <w:vAlign w:val="bottom"/>
            <w:shd w:val="clear" w:color="auto" w:fill="083566"/>
          </w:tcPr>
          <w:p>
            <w:pPr>
              <w:spacing w:after="0"/>
              <w:rPr>
                <w:sz w:val="16"/>
                <w:szCs w:val="16"/>
                <w:color w:val="auto"/>
              </w:rPr>
            </w:pPr>
          </w:p>
        </w:tc>
        <w:tc>
          <w:tcPr>
            <w:tcW w:w="960" w:type="dxa"/>
            <w:vAlign w:val="bottom"/>
            <w:shd w:val="clear" w:color="auto" w:fill="083566"/>
          </w:tcPr>
          <w:p>
            <w:pPr>
              <w:spacing w:after="0"/>
              <w:rPr>
                <w:sz w:val="16"/>
                <w:szCs w:val="16"/>
                <w:color w:val="auto"/>
              </w:rPr>
            </w:pPr>
          </w:p>
        </w:tc>
        <w:tc>
          <w:tcPr>
            <w:tcW w:w="1000" w:type="dxa"/>
            <w:vAlign w:val="bottom"/>
            <w:gridSpan w:val="2"/>
            <w:shd w:val="clear" w:color="auto" w:fill="083566"/>
          </w:tcPr>
          <w:p>
            <w:pPr>
              <w:ind w:left="160"/>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580" w:type="dxa"/>
            <w:vAlign w:val="bottom"/>
            <w:shd w:val="clear" w:color="auto" w:fill="083566"/>
          </w:tcPr>
          <w:p>
            <w:pPr>
              <w:spacing w:after="0"/>
              <w:rPr>
                <w:sz w:val="16"/>
                <w:szCs w:val="16"/>
                <w:color w:val="auto"/>
              </w:rPr>
            </w:pPr>
          </w:p>
        </w:tc>
        <w:tc>
          <w:tcPr>
            <w:tcW w:w="220" w:type="dxa"/>
            <w:vAlign w:val="bottom"/>
            <w:shd w:val="clear" w:color="auto" w:fill="083566"/>
          </w:tcPr>
          <w:p>
            <w:pPr>
              <w:spacing w:after="0"/>
              <w:rPr>
                <w:sz w:val="16"/>
                <w:szCs w:val="16"/>
                <w:color w:val="auto"/>
              </w:rPr>
            </w:pPr>
          </w:p>
        </w:tc>
        <w:tc>
          <w:tcPr>
            <w:tcW w:w="78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4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60" w:type="dxa"/>
            <w:vAlign w:val="bottom"/>
            <w:shd w:val="clear" w:color="auto" w:fill="083566"/>
          </w:tcPr>
          <w:p>
            <w:pPr>
              <w:spacing w:after="0"/>
              <w:rPr>
                <w:sz w:val="21"/>
                <w:szCs w:val="21"/>
                <w:color w:val="auto"/>
              </w:rPr>
            </w:pPr>
          </w:p>
        </w:tc>
        <w:tc>
          <w:tcPr>
            <w:tcW w:w="760" w:type="dxa"/>
            <w:vAlign w:val="bottom"/>
            <w:shd w:val="clear" w:color="auto" w:fill="083566"/>
          </w:tcPr>
          <w:p>
            <w:pPr>
              <w:jc w:val="right"/>
              <w:ind w:right="179"/>
              <w:spacing w:after="0"/>
              <w:rPr>
                <w:sz w:val="20"/>
                <w:szCs w:val="20"/>
                <w:color w:val="auto"/>
              </w:rPr>
            </w:pPr>
            <w:r>
              <w:rPr>
                <w:rFonts w:ascii="Arial" w:cs="Arial" w:eastAsia="Arial" w:hAnsi="Arial"/>
                <w:sz w:val="16"/>
                <w:szCs w:val="16"/>
                <w:b w:val="1"/>
                <w:bCs w:val="1"/>
                <w:color w:val="FFFFFF"/>
              </w:rPr>
              <w:t>1Q22</w:t>
            </w:r>
          </w:p>
        </w:tc>
        <w:tc>
          <w:tcPr>
            <w:tcW w:w="300" w:type="dxa"/>
            <w:vAlign w:val="bottom"/>
            <w:shd w:val="clear" w:color="auto" w:fill="083566"/>
          </w:tcPr>
          <w:p>
            <w:pPr>
              <w:spacing w:after="0"/>
              <w:rPr>
                <w:sz w:val="21"/>
                <w:szCs w:val="21"/>
                <w:color w:val="auto"/>
              </w:rPr>
            </w:pPr>
          </w:p>
        </w:tc>
        <w:tc>
          <w:tcPr>
            <w:tcW w:w="860" w:type="dxa"/>
            <w:vAlign w:val="bottom"/>
            <w:shd w:val="clear" w:color="auto" w:fill="083566"/>
          </w:tcPr>
          <w:p>
            <w:pPr>
              <w:jc w:val="right"/>
              <w:ind w:right="239"/>
              <w:spacing w:after="0"/>
              <w:rPr>
                <w:sz w:val="20"/>
                <w:szCs w:val="20"/>
                <w:color w:val="auto"/>
              </w:rPr>
            </w:pPr>
            <w:r>
              <w:rPr>
                <w:rFonts w:ascii="Arial" w:cs="Arial" w:eastAsia="Arial" w:hAnsi="Arial"/>
                <w:sz w:val="16"/>
                <w:szCs w:val="16"/>
                <w:b w:val="1"/>
                <w:bCs w:val="1"/>
                <w:color w:val="FFFFFF"/>
              </w:rPr>
              <w:t>1Q21</w:t>
            </w:r>
          </w:p>
        </w:tc>
        <w:tc>
          <w:tcPr>
            <w:tcW w:w="960" w:type="dxa"/>
            <w:vAlign w:val="bottom"/>
            <w:shd w:val="clear" w:color="auto" w:fill="083566"/>
          </w:tcPr>
          <w:p>
            <w:pPr>
              <w:jc w:val="right"/>
              <w:ind w:right="59"/>
              <w:spacing w:after="0"/>
              <w:rPr>
                <w:sz w:val="20"/>
                <w:szCs w:val="20"/>
                <w:color w:val="auto"/>
              </w:rPr>
            </w:pPr>
            <w:r>
              <w:rPr>
                <w:rFonts w:ascii="Arial" w:cs="Arial" w:eastAsia="Arial" w:hAnsi="Arial"/>
                <w:sz w:val="16"/>
                <w:szCs w:val="16"/>
                <w:b w:val="1"/>
                <w:bCs w:val="1"/>
                <w:color w:val="FFFFFF"/>
              </w:rPr>
              <w:t>Change</w:t>
            </w:r>
          </w:p>
        </w:tc>
        <w:tc>
          <w:tcPr>
            <w:tcW w:w="1000" w:type="dxa"/>
            <w:vAlign w:val="bottom"/>
            <w:gridSpan w:val="2"/>
            <w:shd w:val="clear" w:color="auto" w:fill="083566"/>
          </w:tcPr>
          <w:p>
            <w:pPr>
              <w:ind w:left="160"/>
              <w:spacing w:after="0"/>
              <w:rPr>
                <w:sz w:val="20"/>
                <w:szCs w:val="20"/>
                <w:color w:val="auto"/>
              </w:rPr>
            </w:pPr>
            <w:r>
              <w:rPr>
                <w:rFonts w:ascii="Arial" w:cs="Arial" w:eastAsia="Arial" w:hAnsi="Arial"/>
                <w:sz w:val="16"/>
                <w:szCs w:val="16"/>
                <w:b w:val="1"/>
                <w:bCs w:val="1"/>
                <w:color w:val="FFFFFF"/>
              </w:rPr>
              <w:t xml:space="preserve">Growth </w:t>
            </w:r>
            <w:r>
              <w:rPr>
                <w:rFonts w:ascii="Arial" w:cs="Arial" w:eastAsia="Arial" w:hAnsi="Arial"/>
                <w:sz w:val="21"/>
                <w:szCs w:val="21"/>
                <w:b w:val="1"/>
                <w:bCs w:val="1"/>
                <w:color w:val="FFFFFF"/>
                <w:vertAlign w:val="superscript"/>
              </w:rPr>
              <w:t>(1)</w:t>
            </w:r>
          </w:p>
        </w:tc>
        <w:tc>
          <w:tcPr>
            <w:tcW w:w="80" w:type="dxa"/>
            <w:vAlign w:val="bottom"/>
          </w:tcPr>
          <w:p>
            <w:pPr>
              <w:spacing w:after="0"/>
              <w:rPr>
                <w:sz w:val="21"/>
                <w:szCs w:val="21"/>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1"/>
                <w:szCs w:val="21"/>
                <w:color w:val="auto"/>
              </w:rPr>
            </w:pPr>
          </w:p>
        </w:tc>
        <w:tc>
          <w:tcPr>
            <w:tcW w:w="220" w:type="dxa"/>
            <w:vAlign w:val="bottom"/>
            <w:shd w:val="clear" w:color="auto" w:fill="083566"/>
          </w:tcPr>
          <w:p>
            <w:pPr>
              <w:spacing w:after="0"/>
              <w:rPr>
                <w:sz w:val="21"/>
                <w:szCs w:val="21"/>
                <w:color w:val="auto"/>
              </w:rPr>
            </w:pPr>
          </w:p>
        </w:tc>
        <w:tc>
          <w:tcPr>
            <w:tcW w:w="580" w:type="dxa"/>
            <w:vAlign w:val="bottom"/>
            <w:shd w:val="clear" w:color="auto" w:fill="083566"/>
          </w:tcPr>
          <w:p>
            <w:pPr>
              <w:spacing w:after="0"/>
              <w:rPr>
                <w:sz w:val="21"/>
                <w:szCs w:val="21"/>
                <w:color w:val="auto"/>
              </w:rPr>
            </w:pPr>
          </w:p>
        </w:tc>
        <w:tc>
          <w:tcPr>
            <w:tcW w:w="220" w:type="dxa"/>
            <w:vAlign w:val="bottom"/>
            <w:shd w:val="clear" w:color="auto" w:fill="083566"/>
          </w:tcPr>
          <w:p>
            <w:pPr>
              <w:spacing w:after="0"/>
              <w:rPr>
                <w:sz w:val="21"/>
                <w:szCs w:val="21"/>
                <w:color w:val="auto"/>
              </w:rPr>
            </w:pPr>
          </w:p>
        </w:tc>
        <w:tc>
          <w:tcPr>
            <w:tcW w:w="780" w:type="dxa"/>
            <w:vAlign w:val="bottom"/>
            <w:shd w:val="clear" w:color="auto" w:fill="083566"/>
          </w:tcPr>
          <w:p>
            <w:pPr>
              <w:spacing w:after="0"/>
              <w:rPr>
                <w:sz w:val="21"/>
                <w:szCs w:val="21"/>
                <w:color w:val="auto"/>
              </w:rPr>
            </w:pPr>
          </w:p>
        </w:tc>
        <w:tc>
          <w:tcPr>
            <w:tcW w:w="880" w:type="dxa"/>
            <w:vAlign w:val="bottom"/>
            <w:shd w:val="clear" w:color="auto" w:fill="083566"/>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88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600" w:type="dxa"/>
            <w:vAlign w:val="bottom"/>
            <w:shd w:val="clear" w:color="auto" w:fill="083566"/>
          </w:tcPr>
          <w:p>
            <w:pPr>
              <w:spacing w:after="0"/>
              <w:rPr>
                <w:sz w:val="20"/>
                <w:szCs w:val="20"/>
                <w:color w:val="auto"/>
              </w:rPr>
            </w:pPr>
          </w:p>
        </w:tc>
        <w:tc>
          <w:tcPr>
            <w:tcW w:w="40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220" w:type="dxa"/>
            <w:vAlign w:val="bottom"/>
            <w:shd w:val="clear" w:color="auto" w:fill="083566"/>
          </w:tcPr>
          <w:p>
            <w:pPr>
              <w:spacing w:after="0"/>
              <w:rPr>
                <w:sz w:val="20"/>
                <w:szCs w:val="20"/>
                <w:color w:val="auto"/>
              </w:rPr>
            </w:pPr>
          </w:p>
        </w:tc>
        <w:tc>
          <w:tcPr>
            <w:tcW w:w="580" w:type="dxa"/>
            <w:vAlign w:val="bottom"/>
            <w:shd w:val="clear" w:color="auto" w:fill="083566"/>
          </w:tcPr>
          <w:p>
            <w:pPr>
              <w:jc w:val="right"/>
              <w:spacing w:after="0"/>
              <w:rPr>
                <w:sz w:val="20"/>
                <w:szCs w:val="20"/>
                <w:color w:val="auto"/>
              </w:rPr>
            </w:pPr>
            <w:r>
              <w:rPr>
                <w:rFonts w:ascii="Arial" w:cs="Arial" w:eastAsia="Arial" w:hAnsi="Arial"/>
                <w:sz w:val="16"/>
                <w:szCs w:val="16"/>
                <w:b w:val="1"/>
                <w:bCs w:val="1"/>
                <w:color w:val="FFFFFF"/>
              </w:rPr>
              <w:t>1Q22</w:t>
            </w:r>
          </w:p>
        </w:tc>
        <w:tc>
          <w:tcPr>
            <w:tcW w:w="220" w:type="dxa"/>
            <w:vAlign w:val="bottom"/>
            <w:shd w:val="clear" w:color="auto" w:fill="083566"/>
          </w:tcPr>
          <w:p>
            <w:pPr>
              <w:spacing w:after="0"/>
              <w:rPr>
                <w:sz w:val="20"/>
                <w:szCs w:val="20"/>
                <w:color w:val="auto"/>
              </w:rPr>
            </w:pPr>
          </w:p>
        </w:tc>
        <w:tc>
          <w:tcPr>
            <w:tcW w:w="78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1Q21</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76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860" w:type="dxa"/>
            <w:vAlign w:val="bottom"/>
            <w:shd w:val="clear" w:color="auto" w:fill="D5DCE4"/>
          </w:tcPr>
          <w:p>
            <w:pPr>
              <w:spacing w:after="0"/>
              <w:rPr>
                <w:sz w:val="21"/>
                <w:szCs w:val="21"/>
                <w:color w:val="auto"/>
              </w:rPr>
            </w:pPr>
          </w:p>
        </w:tc>
        <w:tc>
          <w:tcPr>
            <w:tcW w:w="960" w:type="dxa"/>
            <w:vAlign w:val="bottom"/>
            <w:shd w:val="clear" w:color="auto" w:fill="D5DCE4"/>
          </w:tcPr>
          <w:p>
            <w:pPr>
              <w:spacing w:after="0"/>
              <w:rPr>
                <w:sz w:val="21"/>
                <w:szCs w:val="21"/>
                <w:color w:val="auto"/>
              </w:rPr>
            </w:pPr>
          </w:p>
        </w:tc>
        <w:tc>
          <w:tcPr>
            <w:tcW w:w="600" w:type="dxa"/>
            <w:vAlign w:val="bottom"/>
            <w:shd w:val="clear" w:color="auto" w:fill="D5DCE4"/>
          </w:tcPr>
          <w:p>
            <w:pPr>
              <w:spacing w:after="0"/>
              <w:rPr>
                <w:sz w:val="21"/>
                <w:szCs w:val="21"/>
                <w:color w:val="auto"/>
              </w:rPr>
            </w:pPr>
          </w:p>
        </w:tc>
        <w:tc>
          <w:tcPr>
            <w:tcW w:w="40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379</w:t>
            </w:r>
          </w:p>
        </w:tc>
        <w:tc>
          <w:tcPr>
            <w:tcW w:w="88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3"/>
        </w:trPr>
        <w:tc>
          <w:tcPr>
            <w:tcW w:w="174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311,486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273,399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13.9 %</w:t>
            </w:r>
          </w:p>
        </w:tc>
        <w:tc>
          <w:tcPr>
            <w:tcW w:w="600" w:type="dxa"/>
            <w:vAlign w:val="bottom"/>
          </w:tcPr>
          <w:p>
            <w:pPr>
              <w:jc w:val="right"/>
              <w:spacing w:after="0"/>
              <w:rPr>
                <w:sz w:val="20"/>
                <w:szCs w:val="20"/>
                <w:color w:val="auto"/>
              </w:rPr>
            </w:pPr>
            <w:r>
              <w:rPr>
                <w:rFonts w:ascii="Arial" w:cs="Arial" w:eastAsia="Arial" w:hAnsi="Arial"/>
                <w:sz w:val="16"/>
                <w:szCs w:val="16"/>
                <w:color w:val="auto"/>
              </w:rPr>
              <w:t>15.9</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Pr>
          <w:p>
            <w:pPr>
              <w:spacing w:after="0"/>
              <w:rPr>
                <w:sz w:val="20"/>
                <w:szCs w:val="20"/>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287</w:t>
            </w:r>
          </w:p>
        </w:tc>
        <w:tc>
          <w:tcPr>
            <w:tcW w:w="880" w:type="dxa"/>
            <w:vAlign w:val="bottom"/>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246"/>
        </w:trPr>
        <w:tc>
          <w:tcPr>
            <w:tcW w:w="1740" w:type="dxa"/>
            <w:vAlign w:val="bottom"/>
          </w:tcPr>
          <w:p>
            <w:pPr>
              <w:ind w:left="140"/>
              <w:spacing w:after="0"/>
              <w:rPr>
                <w:sz w:val="20"/>
                <w:szCs w:val="20"/>
                <w:color w:val="auto"/>
              </w:rPr>
            </w:pPr>
            <w:r>
              <w:rPr>
                <w:rFonts w:ascii="Arial" w:cs="Arial" w:eastAsia="Arial" w:hAnsi="Arial"/>
                <w:sz w:val="16"/>
                <w:szCs w:val="16"/>
                <w:color w:val="auto"/>
              </w:rPr>
              <w:t>Rates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160,339</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142,929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12.2 %</w:t>
            </w: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749</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666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12.4 %</w:t>
            </w:r>
          </w:p>
        </w:tc>
        <w:tc>
          <w:tcPr>
            <w:tcW w:w="0" w:type="dxa"/>
            <w:vAlign w:val="bottom"/>
          </w:tcPr>
          <w:p>
            <w:pPr>
              <w:spacing w:after="0"/>
              <w:rPr>
                <w:sz w:val="1"/>
                <w:szCs w:val="1"/>
                <w:color w:val="auto"/>
              </w:rPr>
            </w:pPr>
          </w:p>
        </w:tc>
      </w:tr>
      <w:tr>
        <w:trPr>
          <w:trHeight w:val="223"/>
        </w:trPr>
        <w:tc>
          <w:tcPr>
            <w:tcW w:w="1740" w:type="dxa"/>
            <w:vAlign w:val="bottom"/>
          </w:tcPr>
          <w:p>
            <w:pPr>
              <w:ind w:left="140"/>
              <w:spacing w:after="0"/>
              <w:rPr>
                <w:sz w:val="20"/>
                <w:szCs w:val="20"/>
                <w:color w:val="auto"/>
              </w:rPr>
            </w:pPr>
            <w:r>
              <w:rPr>
                <w:rFonts w:ascii="Arial" w:cs="Arial" w:eastAsia="Arial" w:hAnsi="Arial"/>
                <w:sz w:val="16"/>
                <w:szCs w:val="16"/>
                <w:color w:val="auto"/>
              </w:rPr>
              <w:t>Credit</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86,318</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74,368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16.1 %</w:t>
            </w:r>
          </w:p>
        </w:tc>
        <w:tc>
          <w:tcPr>
            <w:tcW w:w="600" w:type="dxa"/>
            <w:vAlign w:val="bottom"/>
          </w:tcPr>
          <w:p>
            <w:pPr>
              <w:jc w:val="right"/>
              <w:spacing w:after="0"/>
              <w:rPr>
                <w:sz w:val="20"/>
                <w:szCs w:val="20"/>
                <w:color w:val="auto"/>
              </w:rPr>
            </w:pPr>
            <w:r>
              <w:rPr>
                <w:rFonts w:ascii="Arial" w:cs="Arial" w:eastAsia="Arial" w:hAnsi="Arial"/>
                <w:sz w:val="16"/>
                <w:szCs w:val="16"/>
                <w:color w:val="auto"/>
              </w:rPr>
              <w:t>17.6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10</w:t>
            </w:r>
          </w:p>
        </w:tc>
        <w:tc>
          <w:tcPr>
            <w:tcW w:w="880" w:type="dxa"/>
            <w:vAlign w:val="bottom"/>
          </w:tcPr>
          <w:p>
            <w:pPr>
              <w:jc w:val="right"/>
              <w:spacing w:after="0"/>
              <w:rPr>
                <w:sz w:val="20"/>
                <w:szCs w:val="20"/>
                <w:color w:val="auto"/>
              </w:rPr>
            </w:pPr>
            <w:r>
              <w:rPr>
                <w:rFonts w:ascii="Arial" w:cs="Arial" w:eastAsia="Arial" w:hAnsi="Arial"/>
                <w:sz w:val="16"/>
                <w:szCs w:val="16"/>
                <w:color w:val="auto"/>
              </w:rPr>
              <w:t>3.9 %</w:t>
            </w:r>
          </w:p>
        </w:tc>
        <w:tc>
          <w:tcPr>
            <w:tcW w:w="0" w:type="dxa"/>
            <w:vAlign w:val="bottom"/>
          </w:tcPr>
          <w:p>
            <w:pPr>
              <w:spacing w:after="0"/>
              <w:rPr>
                <w:sz w:val="1"/>
                <w:szCs w:val="1"/>
                <w:color w:val="auto"/>
              </w:rPr>
            </w:pPr>
          </w:p>
        </w:tc>
      </w:tr>
      <w:tr>
        <w:trPr>
          <w:trHeight w:val="253"/>
        </w:trPr>
        <w:tc>
          <w:tcPr>
            <w:tcW w:w="174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26,535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18,861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40.7 %</w:t>
            </w:r>
          </w:p>
        </w:tc>
        <w:tc>
          <w:tcPr>
            <w:tcW w:w="600" w:type="dxa"/>
            <w:vAlign w:val="bottom"/>
          </w:tcPr>
          <w:p>
            <w:pPr>
              <w:jc w:val="right"/>
              <w:spacing w:after="0"/>
              <w:rPr>
                <w:sz w:val="20"/>
                <w:szCs w:val="20"/>
                <w:color w:val="auto"/>
              </w:rPr>
            </w:pPr>
            <w:r>
              <w:rPr>
                <w:rFonts w:ascii="Arial" w:cs="Arial" w:eastAsia="Arial" w:hAnsi="Arial"/>
                <w:sz w:val="16"/>
                <w:szCs w:val="16"/>
                <w:color w:val="auto"/>
              </w:rPr>
              <w:t>45.6</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880" w:type="dxa"/>
            <w:vAlign w:val="bottom"/>
          </w:tcPr>
          <w:p>
            <w:pPr>
              <w:jc w:val="right"/>
              <w:spacing w:after="0"/>
              <w:rPr>
                <w:sz w:val="20"/>
                <w:szCs w:val="20"/>
                <w:color w:val="auto"/>
              </w:rPr>
            </w:pPr>
            <w:r>
              <w:rPr>
                <w:rFonts w:ascii="Arial" w:cs="Arial" w:eastAsia="Arial" w:hAnsi="Arial"/>
                <w:sz w:val="16"/>
                <w:szCs w:val="16"/>
                <w:color w:val="auto"/>
              </w:rPr>
              <w:t>34.3 %</w:t>
            </w:r>
          </w:p>
        </w:tc>
        <w:tc>
          <w:tcPr>
            <w:tcW w:w="0" w:type="dxa"/>
            <w:vAlign w:val="bottom"/>
          </w:tcPr>
          <w:p>
            <w:pPr>
              <w:spacing w:after="0"/>
              <w:rPr>
                <w:sz w:val="1"/>
                <w:szCs w:val="1"/>
                <w:color w:val="auto"/>
              </w:rPr>
            </w:pPr>
          </w:p>
        </w:tc>
      </w:tr>
      <w:tr>
        <w:trPr>
          <w:trHeight w:val="246"/>
        </w:trPr>
        <w:tc>
          <w:tcPr>
            <w:tcW w:w="174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11,524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10,818</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6.5 %</w:t>
            </w:r>
          </w:p>
        </w:tc>
        <w:tc>
          <w:tcPr>
            <w:tcW w:w="600" w:type="dxa"/>
            <w:vAlign w:val="bottom"/>
          </w:tcPr>
          <w:p>
            <w:pPr>
              <w:jc w:val="right"/>
              <w:spacing w:after="0"/>
              <w:rPr>
                <w:sz w:val="20"/>
                <w:szCs w:val="20"/>
                <w:color w:val="auto"/>
              </w:rPr>
            </w:pPr>
            <w:r>
              <w:rPr>
                <w:rFonts w:ascii="Arial" w:cs="Arial" w:eastAsia="Arial" w:hAnsi="Arial"/>
                <w:sz w:val="16"/>
                <w:szCs w:val="16"/>
                <w:color w:val="auto"/>
              </w:rPr>
              <w:t>8.1</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33</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27</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22.7 %</w:t>
            </w:r>
          </w:p>
        </w:tc>
        <w:tc>
          <w:tcPr>
            <w:tcW w:w="0" w:type="dxa"/>
            <w:vAlign w:val="bottom"/>
          </w:tcPr>
          <w:p>
            <w:pPr>
              <w:spacing w:after="0"/>
              <w:rPr>
                <w:sz w:val="1"/>
                <w:szCs w:val="1"/>
                <w:color w:val="auto"/>
              </w:rPr>
            </w:pPr>
          </w:p>
        </w:tc>
      </w:tr>
      <w:tr>
        <w:trPr>
          <w:trHeight w:val="223"/>
        </w:trPr>
        <w:tc>
          <w:tcPr>
            <w:tcW w:w="174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21,366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19,972</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7.0 %</w:t>
            </w:r>
          </w:p>
        </w:tc>
        <w:tc>
          <w:tcPr>
            <w:tcW w:w="600" w:type="dxa"/>
            <w:vAlign w:val="bottom"/>
          </w:tcPr>
          <w:p>
            <w:pPr>
              <w:jc w:val="right"/>
              <w:spacing w:after="0"/>
              <w:rPr>
                <w:sz w:val="20"/>
                <w:szCs w:val="20"/>
                <w:color w:val="auto"/>
              </w:rPr>
            </w:pPr>
            <w:r>
              <w:rPr>
                <w:rFonts w:ascii="Arial" w:cs="Arial" w:eastAsia="Arial" w:hAnsi="Arial"/>
                <w:sz w:val="16"/>
                <w:szCs w:val="16"/>
                <w:color w:val="auto"/>
              </w:rPr>
              <w:t>7.5</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2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19"/>
                <w:szCs w:val="19"/>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9</w:t>
            </w:r>
          </w:p>
        </w:tc>
        <w:tc>
          <w:tcPr>
            <w:tcW w:w="880" w:type="dxa"/>
            <w:vAlign w:val="bottom"/>
          </w:tcPr>
          <w:p>
            <w:pPr>
              <w:jc w:val="right"/>
              <w:spacing w:after="0"/>
              <w:rPr>
                <w:sz w:val="20"/>
                <w:szCs w:val="20"/>
                <w:color w:val="auto"/>
              </w:rPr>
            </w:pPr>
            <w:r>
              <w:rPr>
                <w:rFonts w:ascii="Arial" w:cs="Arial" w:eastAsia="Arial" w:hAnsi="Arial"/>
                <w:sz w:val="16"/>
                <w:szCs w:val="16"/>
                <w:color w:val="auto"/>
              </w:rPr>
              <w:t>41.5 %</w:t>
            </w:r>
          </w:p>
        </w:tc>
        <w:tc>
          <w:tcPr>
            <w:tcW w:w="0" w:type="dxa"/>
            <w:vAlign w:val="bottom"/>
          </w:tcPr>
          <w:p>
            <w:pPr>
              <w:spacing w:after="0"/>
              <w:rPr>
                <w:sz w:val="1"/>
                <w:szCs w:val="1"/>
                <w:color w:val="auto"/>
              </w:rPr>
            </w:pPr>
          </w:p>
        </w:tc>
      </w:tr>
      <w:tr>
        <w:trPr>
          <w:trHeight w:val="253"/>
        </w:trPr>
        <w:tc>
          <w:tcPr>
            <w:tcW w:w="1740" w:type="dxa"/>
            <w:vAlign w:val="bottom"/>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5,404</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6,451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(16.2) %</w:t>
            </w:r>
          </w:p>
        </w:tc>
        <w:tc>
          <w:tcPr>
            <w:tcW w:w="1000" w:type="dxa"/>
            <w:vAlign w:val="bottom"/>
            <w:gridSpan w:val="2"/>
          </w:tcPr>
          <w:p>
            <w:pPr>
              <w:jc w:val="right"/>
              <w:ind w:right="119"/>
              <w:spacing w:after="0"/>
              <w:rPr>
                <w:sz w:val="20"/>
                <w:szCs w:val="20"/>
                <w:color w:val="auto"/>
              </w:rPr>
            </w:pPr>
            <w:r>
              <w:rPr>
                <w:rFonts w:ascii="Arial" w:cs="Arial" w:eastAsia="Arial" w:hAnsi="Arial"/>
                <w:sz w:val="16"/>
                <w:szCs w:val="16"/>
                <w:color w:val="auto"/>
              </w:rPr>
              <w:t>(16.2) %</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21"/>
                <w:szCs w:val="21"/>
                <w:color w:val="auto"/>
              </w:rPr>
            </w:pPr>
          </w:p>
        </w:tc>
        <w:tc>
          <w:tcPr>
            <w:tcW w:w="780" w:type="dxa"/>
            <w:vAlign w:val="bottom"/>
          </w:tcPr>
          <w:p>
            <w:pPr>
              <w:jc w:val="right"/>
              <w:ind w:right="179"/>
              <w:spacing w:after="0"/>
              <w:rPr>
                <w:sz w:val="20"/>
                <w:szCs w:val="20"/>
                <w:color w:val="auto"/>
              </w:rPr>
            </w:pPr>
            <w:r>
              <w:rPr>
                <w:rFonts w:ascii="Arial" w:cs="Arial" w:eastAsia="Arial" w:hAnsi="Arial"/>
                <w:sz w:val="16"/>
                <w:szCs w:val="16"/>
                <w:color w:val="auto"/>
              </w:rPr>
              <w:t>7</w:t>
            </w:r>
          </w:p>
        </w:tc>
        <w:tc>
          <w:tcPr>
            <w:tcW w:w="880" w:type="dxa"/>
            <w:vAlign w:val="bottom"/>
          </w:tcPr>
          <w:p>
            <w:pPr>
              <w:jc w:val="right"/>
              <w:spacing w:after="0"/>
              <w:rPr>
                <w:sz w:val="20"/>
                <w:szCs w:val="20"/>
                <w:color w:val="auto"/>
              </w:rPr>
            </w:pPr>
            <w:r>
              <w:rPr>
                <w:rFonts w:ascii="Arial" w:cs="Arial" w:eastAsia="Arial" w:hAnsi="Arial"/>
                <w:sz w:val="16"/>
                <w:szCs w:val="16"/>
                <w:color w:val="auto"/>
              </w:rPr>
              <w:t>21.4 %</w:t>
            </w:r>
          </w:p>
        </w:tc>
        <w:tc>
          <w:tcPr>
            <w:tcW w:w="0" w:type="dxa"/>
            <w:vAlign w:val="bottom"/>
          </w:tcPr>
          <w:p>
            <w:pPr>
              <w:spacing w:after="0"/>
              <w:rPr>
                <w:sz w:val="1"/>
                <w:szCs w:val="1"/>
                <w:color w:val="auto"/>
              </w:rPr>
            </w:pPr>
          </w:p>
        </w:tc>
      </w:tr>
      <w:tr>
        <w:trPr>
          <w:trHeight w:val="246"/>
        </w:trPr>
        <w:tc>
          <w:tcPr>
            <w:tcW w:w="17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97,445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81,565</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19.5 %</w:t>
            </w:r>
          </w:p>
        </w:tc>
        <w:tc>
          <w:tcPr>
            <w:tcW w:w="6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21"/>
                <w:szCs w:val="21"/>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083566"/>
            </w:tcBorders>
            <w:shd w:val="clear" w:color="auto" w:fill="D5DCE4"/>
          </w:tcPr>
          <w:p>
            <w:pPr>
              <w:spacing w:after="0"/>
              <w:rPr>
                <w:sz w:val="21"/>
                <w:szCs w:val="21"/>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16</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32.6 %</w:t>
            </w:r>
          </w:p>
        </w:tc>
        <w:tc>
          <w:tcPr>
            <w:tcW w:w="0" w:type="dxa"/>
            <w:vAlign w:val="bottom"/>
          </w:tcPr>
          <w:p>
            <w:pPr>
              <w:spacing w:after="0"/>
              <w:rPr>
                <w:sz w:val="1"/>
                <w:szCs w:val="1"/>
                <w:color w:val="auto"/>
              </w:rPr>
            </w:pPr>
          </w:p>
        </w:tc>
      </w:tr>
      <w:tr>
        <w:trPr>
          <w:trHeight w:val="204"/>
        </w:trPr>
        <w:tc>
          <w:tcPr>
            <w:tcW w:w="174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80" w:type="dxa"/>
            <w:vAlign w:val="bottom"/>
            <w:gridSpan w:val="2"/>
            <w:vMerge w:val="restart"/>
          </w:tcPr>
          <w:p>
            <w:pPr>
              <w:ind w:left="20"/>
              <w:spacing w:after="0"/>
              <w:rPr>
                <w:sz w:val="20"/>
                <w:szCs w:val="20"/>
                <w:color w:val="auto"/>
              </w:rPr>
            </w:pPr>
            <w:r>
              <w:rPr>
                <w:rFonts w:ascii="Arial" w:cs="Arial" w:eastAsia="Arial" w:hAnsi="Arial"/>
                <w:sz w:val="16"/>
                <w:szCs w:val="16"/>
                <w:color w:val="auto"/>
              </w:rPr>
              <w:t>Money Markets Cash</w:t>
            </w:r>
          </w:p>
        </w:tc>
        <w:tc>
          <w:tcPr>
            <w:tcW w:w="22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372</w:t>
            </w:r>
          </w:p>
        </w:tc>
        <w:tc>
          <w:tcPr>
            <w:tcW w:w="220" w:type="dxa"/>
            <w:vAlign w:val="bottom"/>
          </w:tcPr>
          <w:p>
            <w:pPr>
              <w:spacing w:after="0"/>
              <w:rPr>
                <w:sz w:val="17"/>
                <w:szCs w:val="17"/>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6"/>
                <w:szCs w:val="16"/>
                <w:color w:val="auto"/>
              </w:rPr>
              <w:t>350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83"/>
        </w:trPr>
        <w:tc>
          <w:tcPr>
            <w:tcW w:w="174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17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shd w:val="clear" w:color="auto" w:fill="D5DCE4"/>
          </w:tcPr>
          <w:p>
            <w:pPr>
              <w:spacing w:after="0"/>
              <w:rPr>
                <w:sz w:val="8"/>
                <w:szCs w:val="8"/>
                <w:color w:val="auto"/>
              </w:rPr>
            </w:pPr>
          </w:p>
        </w:tc>
        <w:tc>
          <w:tcPr>
            <w:tcW w:w="220" w:type="dxa"/>
            <w:vAlign w:val="bottom"/>
            <w:shd w:val="clear" w:color="auto" w:fill="D5DCE4"/>
          </w:tcPr>
          <w:p>
            <w:pPr>
              <w:spacing w:after="0"/>
              <w:rPr>
                <w:sz w:val="8"/>
                <w:szCs w:val="8"/>
                <w:color w:val="auto"/>
              </w:rPr>
            </w:pPr>
          </w:p>
        </w:tc>
        <w:tc>
          <w:tcPr>
            <w:tcW w:w="580" w:type="dxa"/>
            <w:vAlign w:val="bottom"/>
            <w:shd w:val="clear" w:color="auto" w:fill="D5DCE4"/>
          </w:tcPr>
          <w:p>
            <w:pPr>
              <w:spacing w:after="0"/>
              <w:rPr>
                <w:sz w:val="8"/>
                <w:szCs w:val="8"/>
                <w:color w:val="auto"/>
              </w:rPr>
            </w:pPr>
          </w:p>
        </w:tc>
        <w:tc>
          <w:tcPr>
            <w:tcW w:w="220" w:type="dxa"/>
            <w:vAlign w:val="bottom"/>
            <w:shd w:val="clear" w:color="auto" w:fill="D5DCE4"/>
          </w:tcPr>
          <w:p>
            <w:pPr>
              <w:spacing w:after="0"/>
              <w:rPr>
                <w:sz w:val="8"/>
                <w:szCs w:val="8"/>
                <w:color w:val="auto"/>
              </w:rPr>
            </w:pPr>
          </w:p>
        </w:tc>
        <w:tc>
          <w:tcPr>
            <w:tcW w:w="780" w:type="dxa"/>
            <w:vAlign w:val="bottom"/>
            <w:shd w:val="clear" w:color="auto" w:fill="D5DCE4"/>
          </w:tcPr>
          <w:p>
            <w:pPr>
              <w:spacing w:after="0"/>
              <w:rPr>
                <w:sz w:val="8"/>
                <w:szCs w:val="8"/>
                <w:color w:val="auto"/>
              </w:rPr>
            </w:pPr>
          </w:p>
        </w:tc>
        <w:tc>
          <w:tcPr>
            <w:tcW w:w="880" w:type="dxa"/>
            <w:vAlign w:val="bottom"/>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740" w:type="dxa"/>
            <w:vAlign w:val="bottom"/>
          </w:tcPr>
          <w:p>
            <w:pPr>
              <w:ind w:left="20"/>
              <w:spacing w:after="0" w:line="217"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82,965</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67,859</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22.3 %</w:t>
            </w: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bottom w:val="single" w:sz="8" w:color="083566"/>
            </w:tcBorders>
          </w:tcPr>
          <w:p>
            <w:pPr>
              <w:spacing w:after="0"/>
              <w:rPr>
                <w:sz w:val="18"/>
                <w:szCs w:val="18"/>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083566"/>
            </w:tcBorders>
            <w:shd w:val="clear" w:color="auto" w:fill="D5DCE4"/>
          </w:tcPr>
          <w:p>
            <w:pPr>
              <w:spacing w:after="0"/>
              <w:rPr>
                <w:sz w:val="18"/>
                <w:szCs w:val="18"/>
                <w:color w:val="auto"/>
              </w:rPr>
            </w:pPr>
          </w:p>
        </w:tc>
        <w:tc>
          <w:tcPr>
            <w:tcW w:w="5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372</w:t>
            </w:r>
          </w:p>
        </w:tc>
        <w:tc>
          <w:tcPr>
            <w:tcW w:w="220" w:type="dxa"/>
            <w:vAlign w:val="bottom"/>
            <w:tcBorders>
              <w:bottom w:val="single" w:sz="8" w:color="083566"/>
            </w:tcBorders>
            <w:shd w:val="clear" w:color="auto" w:fill="D5DCE4"/>
          </w:tcPr>
          <w:p>
            <w:pPr>
              <w:spacing w:after="0"/>
              <w:rPr>
                <w:sz w:val="18"/>
                <w:szCs w:val="18"/>
                <w:color w:val="auto"/>
              </w:rPr>
            </w:pPr>
          </w:p>
        </w:tc>
        <w:tc>
          <w:tcPr>
            <w:tcW w:w="780" w:type="dxa"/>
            <w:vAlign w:val="bottom"/>
            <w:tcBorders>
              <w:bottom w:val="single" w:sz="8" w:color="083566"/>
            </w:tcBorders>
            <w:shd w:val="clear" w:color="auto" w:fill="D5DCE4"/>
          </w:tcPr>
          <w:p>
            <w:pPr>
              <w:jc w:val="right"/>
              <w:ind w:right="179"/>
              <w:spacing w:after="0"/>
              <w:rPr>
                <w:sz w:val="20"/>
                <w:szCs w:val="20"/>
                <w:color w:val="auto"/>
              </w:rPr>
            </w:pPr>
            <w:r>
              <w:rPr>
                <w:rFonts w:ascii="Arial" w:cs="Arial" w:eastAsia="Arial" w:hAnsi="Arial"/>
                <w:sz w:val="16"/>
                <w:szCs w:val="16"/>
                <w:color w:val="auto"/>
              </w:rPr>
              <w:t>350</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37"/>
        </w:trPr>
        <w:tc>
          <w:tcPr>
            <w:tcW w:w="17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99"/>
              <w:spacing w:after="0"/>
              <w:rPr>
                <w:sz w:val="20"/>
                <w:szCs w:val="20"/>
                <w:color w:val="auto"/>
              </w:rPr>
            </w:pPr>
            <w:r>
              <w:rPr>
                <w:rFonts w:ascii="Arial" w:cs="Arial" w:eastAsia="Arial" w:hAnsi="Arial"/>
                <w:sz w:val="16"/>
                <w:szCs w:val="16"/>
                <w:color w:val="auto"/>
              </w:rPr>
              <w:t>0.33</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21.2 %</w:t>
            </w:r>
          </w:p>
        </w:tc>
        <w:tc>
          <w:tcPr>
            <w:tcW w:w="6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220" w:type="dxa"/>
            <w:vAlign w:val="bottom"/>
            <w:shd w:val="clear" w:color="auto" w:fill="D5DC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5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1,175</w:t>
            </w:r>
          </w:p>
        </w:tc>
        <w:tc>
          <w:tcPr>
            <w:tcW w:w="220" w:type="dxa"/>
            <w:vAlign w:val="bottom"/>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D5DCE4"/>
          </w:tcPr>
          <w:p>
            <w:pPr>
              <w:jc w:val="right"/>
              <w:ind w:right="179"/>
              <w:spacing w:after="0"/>
              <w:rPr>
                <w:sz w:val="20"/>
                <w:szCs w:val="20"/>
                <w:color w:val="auto"/>
              </w:rPr>
            </w:pPr>
            <w:r>
              <w:rPr>
                <w:rFonts w:ascii="Arial" w:cs="Arial" w:eastAsia="Arial" w:hAnsi="Arial"/>
                <w:sz w:val="16"/>
                <w:szCs w:val="16"/>
                <w:b w:val="1"/>
                <w:bCs w:val="1"/>
                <w:color w:val="auto"/>
              </w:rPr>
              <w:t>1,059</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37287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28720" cy="154305"/>
                    </a:xfrm>
                    <a:prstGeom prst="rect">
                      <a:avLst/>
                    </a:prstGeom>
                    <a:noFill/>
                  </pic:spPr>
                </pic:pic>
              </a:graphicData>
            </a:graphic>
          </wp:anchor>
        </w:drawing>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Non-GAAP Financial Measures</w:t>
      </w:r>
    </w:p>
    <w:p>
      <w:pPr>
        <w:sectPr>
          <w:pgSz w:w="11900" w:h="16838" w:orient="portrait"/>
          <w:cols w:equalWidth="0" w:num="1">
            <w:col w:w="10820"/>
          </w:cols>
          <w:pgMar w:left="320" w:top="283" w:right="759" w:bottom="1440" w:gutter="0" w:footer="0" w:header="0"/>
          <w:type w:val="continuous"/>
        </w:sectPr>
      </w:pP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160,635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142,084</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13.1 %</w:t>
            </w:r>
          </w:p>
        </w:tc>
        <w:tc>
          <w:tcPr>
            <w:tcW w:w="500" w:type="dxa"/>
            <w:vAlign w:val="bottom"/>
          </w:tcPr>
          <w:p>
            <w:pPr>
              <w:jc w:val="right"/>
              <w:spacing w:after="0"/>
              <w:rPr>
                <w:sz w:val="20"/>
                <w:szCs w:val="20"/>
                <w:color w:val="auto"/>
              </w:rPr>
            </w:pPr>
            <w:r>
              <w:rPr>
                <w:rFonts w:ascii="Arial" w:cs="Arial" w:eastAsia="Arial" w:hAnsi="Arial"/>
                <w:sz w:val="16"/>
                <w:szCs w:val="16"/>
                <w:color w:val="auto"/>
              </w:rPr>
              <w:t>14.5</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51.6 %</w:t>
            </w:r>
          </w:p>
        </w:tc>
        <w:tc>
          <w:tcPr>
            <w:tcW w:w="200" w:type="dxa"/>
            <w:vAlign w:val="bottom"/>
          </w:tcPr>
          <w:p>
            <w:pPr>
              <w:spacing w:after="0"/>
              <w:rPr>
                <w:sz w:val="21"/>
                <w:szCs w:val="21"/>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52.0 %</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-40 bps</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-64 bps</w:t>
            </w:r>
          </w:p>
        </w:tc>
        <w:tc>
          <w:tcPr>
            <w:tcW w:w="0" w:type="dxa"/>
            <w:vAlign w:val="bottom"/>
          </w:tcPr>
          <w:p>
            <w:pPr>
              <w:spacing w:after="0"/>
              <w:rPr>
                <w:sz w:val="1"/>
                <w:szCs w:val="1"/>
                <w:color w:val="auto"/>
              </w:rPr>
            </w:pPr>
          </w:p>
        </w:tc>
      </w:tr>
      <w:tr>
        <w:trPr>
          <w:trHeight w:val="246"/>
        </w:trPr>
        <w:tc>
          <w:tcPr>
            <w:tcW w:w="1720" w:type="dxa"/>
            <w:vAlign w:val="bottom"/>
          </w:tcPr>
          <w:p>
            <w:pPr>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147,954</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130,721</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13.2 %</w:t>
            </w:r>
          </w:p>
        </w:tc>
        <w:tc>
          <w:tcPr>
            <w:tcW w:w="500" w:type="dxa"/>
            <w:vAlign w:val="bottom"/>
          </w:tcPr>
          <w:p>
            <w:pPr>
              <w:jc w:val="right"/>
              <w:spacing w:after="0"/>
              <w:rPr>
                <w:sz w:val="20"/>
                <w:szCs w:val="20"/>
                <w:color w:val="auto"/>
              </w:rPr>
            </w:pPr>
            <w:r>
              <w:rPr>
                <w:rFonts w:ascii="Arial" w:cs="Arial" w:eastAsia="Arial" w:hAnsi="Arial"/>
                <w:sz w:val="16"/>
                <w:szCs w:val="16"/>
                <w:color w:val="auto"/>
              </w:rPr>
              <w:t>14.7</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1720" w:type="dxa"/>
            <w:vAlign w:val="bottom"/>
          </w:tcPr>
          <w:p>
            <w:pPr>
              <w:spacing w:after="0" w:line="147" w:lineRule="exact"/>
              <w:rPr>
                <w:sz w:val="20"/>
                <w:szCs w:val="20"/>
                <w:color w:val="auto"/>
              </w:rPr>
            </w:pPr>
            <w:r>
              <w:rPr>
                <w:rFonts w:ascii="Arial" w:cs="Arial" w:eastAsia="Arial" w:hAnsi="Arial"/>
                <w:sz w:val="16"/>
                <w:szCs w:val="16"/>
                <w:color w:val="auto"/>
              </w:rPr>
              <w:t>Adjusted EBIT margin</w:t>
            </w:r>
          </w:p>
        </w:tc>
        <w:tc>
          <w:tcPr>
            <w:tcW w:w="2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47.5 %</w:t>
            </w:r>
          </w:p>
        </w:tc>
        <w:tc>
          <w:tcPr>
            <w:tcW w:w="200" w:type="dxa"/>
            <w:vAlign w:val="bottom"/>
          </w:tcPr>
          <w:p>
            <w:pPr>
              <w:spacing w:after="0"/>
              <w:rPr>
                <w:sz w:val="12"/>
                <w:szCs w:val="12"/>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47.8 %</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-31 bps</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r>
        <w:trPr>
          <w:trHeight w:val="170"/>
        </w:trPr>
        <w:tc>
          <w:tcPr>
            <w:tcW w:w="1720" w:type="dxa"/>
            <w:vAlign w:val="bottom"/>
          </w:tcPr>
          <w:p>
            <w:pPr>
              <w:spacing w:after="0" w:line="125" w:lineRule="exact"/>
              <w:rPr>
                <w:sz w:val="20"/>
                <w:szCs w:val="20"/>
                <w:color w:val="auto"/>
              </w:rPr>
            </w:pPr>
            <w:r>
              <w:rPr>
                <w:rFonts w:ascii="Arial" w:cs="Arial" w:eastAsia="Arial" w:hAnsi="Arial"/>
                <w:sz w:val="11"/>
                <w:szCs w:val="11"/>
                <w:color w:val="auto"/>
              </w:rPr>
              <w:t>(1)</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720" w:type="dxa"/>
            <w:vAlign w:val="bottom"/>
          </w:tcPr>
          <w:p>
            <w:pPr>
              <w:spacing w:after="0"/>
              <w:rPr>
                <w:sz w:val="20"/>
                <w:szCs w:val="20"/>
                <w:color w:val="auto"/>
              </w:rPr>
            </w:pPr>
            <w:r>
              <w:rPr>
                <w:rFonts w:ascii="Arial" w:cs="Arial" w:eastAsia="Arial" w:hAnsi="Arial"/>
                <w:sz w:val="16"/>
                <w:szCs w:val="16"/>
                <w:color w:val="auto"/>
                <w:w w:val="99"/>
              </w:rPr>
              <w:t xml:space="preserve">Adjusted Net Income </w:t>
            </w:r>
            <w:r>
              <w:rPr>
                <w:rFonts w:ascii="Arial" w:cs="Arial" w:eastAsia="Arial" w:hAnsi="Arial"/>
                <w:sz w:val="21"/>
                <w:szCs w:val="21"/>
                <w:color w:val="auto"/>
                <w:w w:val="99"/>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115,055</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101,578</w:t>
            </w:r>
          </w:p>
        </w:tc>
        <w:tc>
          <w:tcPr>
            <w:tcW w:w="900" w:type="dxa"/>
            <w:vAlign w:val="bottom"/>
          </w:tcPr>
          <w:p>
            <w:pPr>
              <w:jc w:val="right"/>
              <w:ind w:right="179"/>
              <w:spacing w:after="0"/>
              <w:rPr>
                <w:sz w:val="20"/>
                <w:szCs w:val="20"/>
                <w:color w:val="auto"/>
              </w:rPr>
            </w:pPr>
            <w:r>
              <w:rPr>
                <w:rFonts w:ascii="Arial" w:cs="Arial" w:eastAsia="Arial" w:hAnsi="Arial"/>
                <w:sz w:val="16"/>
                <w:szCs w:val="16"/>
                <w:color w:val="auto"/>
              </w:rPr>
              <w:t>13.3 %</w:t>
            </w:r>
          </w:p>
        </w:tc>
        <w:tc>
          <w:tcPr>
            <w:tcW w:w="500" w:type="dxa"/>
            <w:vAlign w:val="bottom"/>
          </w:tcPr>
          <w:p>
            <w:pPr>
              <w:jc w:val="right"/>
              <w:spacing w:after="0"/>
              <w:rPr>
                <w:sz w:val="20"/>
                <w:szCs w:val="20"/>
                <w:color w:val="auto"/>
              </w:rPr>
            </w:pPr>
            <w:r>
              <w:rPr>
                <w:rFonts w:ascii="Arial" w:cs="Arial" w:eastAsia="Arial" w:hAnsi="Arial"/>
                <w:sz w:val="16"/>
                <w:szCs w:val="16"/>
                <w:color w:val="auto"/>
              </w:rPr>
              <w:t>14.8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47"/>
        </w:trPr>
        <w:tc>
          <w:tcPr>
            <w:tcW w:w="1720" w:type="dxa"/>
            <w:vAlign w:val="bottom"/>
          </w:tcPr>
          <w:p>
            <w:pPr>
              <w:spacing w:after="0" w:line="147" w:lineRule="exact"/>
              <w:rPr>
                <w:sz w:val="20"/>
                <w:szCs w:val="20"/>
                <w:color w:val="auto"/>
              </w:rPr>
            </w:pPr>
            <w:r>
              <w:rPr>
                <w:rFonts w:ascii="Arial" w:cs="Arial" w:eastAsia="Arial" w:hAnsi="Arial"/>
                <w:sz w:val="16"/>
                <w:szCs w:val="16"/>
                <w:color w:val="auto"/>
              </w:rPr>
              <w:t>Adjusted Diluted EPS</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0.48</w:t>
            </w: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color w:val="auto"/>
              </w:rPr>
              <w:t>0.43</w:t>
            </w:r>
          </w:p>
        </w:tc>
        <w:tc>
          <w:tcPr>
            <w:tcW w:w="900" w:type="dxa"/>
            <w:vAlign w:val="bottom"/>
            <w:vMerge w:val="restart"/>
          </w:tcPr>
          <w:p>
            <w:pPr>
              <w:jc w:val="right"/>
              <w:ind w:right="179"/>
              <w:spacing w:after="0"/>
              <w:rPr>
                <w:sz w:val="20"/>
                <w:szCs w:val="20"/>
                <w:color w:val="auto"/>
              </w:rPr>
            </w:pPr>
            <w:r>
              <w:rPr>
                <w:rFonts w:ascii="Arial" w:cs="Arial" w:eastAsia="Arial" w:hAnsi="Arial"/>
                <w:sz w:val="16"/>
                <w:szCs w:val="16"/>
                <w:color w:val="auto"/>
              </w:rPr>
              <w:t>11.6 %</w:t>
            </w: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3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1720" w:type="dxa"/>
            <w:vAlign w:val="bottom"/>
          </w:tcPr>
          <w:p>
            <w:pPr>
              <w:spacing w:after="0" w:line="125" w:lineRule="exact"/>
              <w:rPr>
                <w:sz w:val="20"/>
                <w:szCs w:val="20"/>
                <w:color w:val="auto"/>
              </w:rPr>
            </w:pPr>
            <w:r>
              <w:rPr>
                <w:rFonts w:ascii="Arial" w:cs="Arial" w:eastAsia="Arial" w:hAnsi="Arial"/>
                <w:sz w:val="11"/>
                <w:szCs w:val="11"/>
                <w:color w:val="auto"/>
              </w:rPr>
              <w:t>(1)</w:t>
            </w:r>
          </w:p>
        </w:tc>
        <w:tc>
          <w:tcPr>
            <w:tcW w:w="2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41" w:right="140" w:hanging="241"/>
        <w:spacing w:after="0" w:line="238" w:lineRule="auto"/>
        <w:tabs>
          <w:tab w:leader="none" w:pos="178" w:val="left"/>
        </w:tabs>
        <w:numPr>
          <w:ilvl w:val="0"/>
          <w:numId w:val="2"/>
        </w:numPr>
        <w:rPr>
          <w:rFonts w:ascii="Arial" w:cs="Arial" w:eastAsia="Arial" w:hAnsi="Arial"/>
          <w:sz w:val="12"/>
          <w:szCs w:val="12"/>
          <w:color w:val="auto"/>
        </w:rPr>
      </w:pPr>
      <w:r>
        <w:rPr>
          <w:rFonts w:ascii="Arial" w:cs="Arial" w:eastAsia="Arial" w:hAnsi="Arial"/>
          <w:sz w:val="12"/>
          <w:szCs w:val="12"/>
          <w:color w:val="auto"/>
        </w:rPr>
        <w:t>Adjusted EBITDA, Adjusted EBITDA margin, Adjusted EBIT, Adjusted EBIT margin, Adjusted Net Income, Adjusted Diluted EPS and constant currency growth are non-GAAP financial measures. See "Non-GAAP Financial Measures" below and the attached schedules for additional information and reconciliations of such non-GAAP financial measures.</w:t>
      </w:r>
    </w:p>
    <w:p>
      <w:pPr>
        <w:spacing w:after="0" w:line="260" w:lineRule="exact"/>
        <w:rPr>
          <w:rFonts w:ascii="Arial" w:cs="Arial" w:eastAsia="Arial" w:hAnsi="Arial"/>
          <w:sz w:val="12"/>
          <w:szCs w:val="12"/>
          <w:color w:val="auto"/>
        </w:rPr>
      </w:pPr>
    </w:p>
    <w:p>
      <w:pPr>
        <w:ind w:left="181" w:hanging="181"/>
        <w:spacing w:after="0"/>
        <w:tabs>
          <w:tab w:leader="none" w:pos="181" w:val="left"/>
        </w:tabs>
        <w:numPr>
          <w:ilvl w:val="0"/>
          <w:numId w:val="2"/>
        </w:numPr>
        <w:rPr>
          <w:rFonts w:ascii="Arial" w:cs="Arial" w:eastAsia="Arial" w:hAnsi="Arial"/>
          <w:sz w:val="12"/>
          <w:szCs w:val="12"/>
          <w:color w:val="auto"/>
        </w:rPr>
      </w:pPr>
      <w:r>
        <w:rPr>
          <w:rFonts w:ascii="Arial" w:cs="Arial" w:eastAsia="Arial" w:hAnsi="Arial"/>
          <w:sz w:val="12"/>
          <w:szCs w:val="12"/>
          <w:color w:val="auto"/>
        </w:rPr>
        <w:t>Represents net income less net income attributable to non-controlling interests.</w:t>
      </w:r>
    </w:p>
    <w:p>
      <w:pPr>
        <w:sectPr>
          <w:pgSz w:w="11900" w:h="16838" w:orient="portrait"/>
          <w:cols w:equalWidth="0" w:num="2">
            <w:col w:w="5800" w:space="179"/>
            <w:col w:w="4841"/>
          </w:cols>
          <w:pgMar w:left="320" w:top="283" w:right="7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$160.3 million in the first quarter of 2022 increased 12.2% compared to prior year period (14.4% on a constant currency basis). Rates</w:t>
      </w:r>
      <w:r>
        <w:rPr>
          <w:rFonts w:ascii="Arial" w:cs="Arial" w:eastAsia="Arial" w:hAnsi="Arial"/>
          <w:sz w:val="16"/>
          <w:szCs w:val="16"/>
          <w:b w:val="1"/>
          <w:bCs w:val="1"/>
          <w:color w:val="auto"/>
        </w:rPr>
        <w:t xml:space="preserve"> </w:t>
      </w:r>
      <w:r>
        <w:rPr>
          <w:rFonts w:ascii="Arial" w:cs="Arial" w:eastAsia="Arial" w:hAnsi="Arial"/>
          <w:sz w:val="16"/>
          <w:szCs w:val="16"/>
          <w:color w:val="auto"/>
        </w:rPr>
        <w:t>ADV was up 12.4% with record ADV in U.S. and European government bonds, as well as swaps/swaptions ≥ 1-year.</w:t>
      </w:r>
    </w:p>
    <w:p>
      <w:pPr>
        <w:spacing w:after="0" w:line="182" w:lineRule="exact"/>
        <w:rPr>
          <w:sz w:val="20"/>
          <w:szCs w:val="20"/>
          <w:color w:val="auto"/>
        </w:rPr>
      </w:pPr>
    </w:p>
    <w:p>
      <w:pPr>
        <w:ind w:right="100"/>
        <w:spacing w:after="0" w:line="228"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$86.3 million in the first quarter of 2022 increased 16.1% compared to prior year period (17.6% on a constant currency basis). Credit</w:t>
      </w:r>
      <w:r>
        <w:rPr>
          <w:rFonts w:ascii="Arial" w:cs="Arial" w:eastAsia="Arial" w:hAnsi="Arial"/>
          <w:sz w:val="16"/>
          <w:szCs w:val="16"/>
          <w:b w:val="1"/>
          <w:bCs w:val="1"/>
          <w:color w:val="auto"/>
        </w:rPr>
        <w:t xml:space="preserve"> </w:t>
      </w:r>
      <w:r>
        <w:rPr>
          <w:rFonts w:ascii="Arial" w:cs="Arial" w:eastAsia="Arial" w:hAnsi="Arial"/>
          <w:sz w:val="16"/>
          <w:szCs w:val="16"/>
          <w:color w:val="auto"/>
        </w:rPr>
        <w:t>ADV was up 22.7% with record ADV in fully electronic U.S. High Grade credit, fully electronic U.S. High Yield credit, and European credit. Tradeweb's share of fully electronic TRACE volume for U.S. High Grade and U.S. High Yield for the quarter increased by +180 bps and +320 bps, respectively, compared to prior year period.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$26.5 million in the first quarter of 2022 increased 40.7% compared to prior year period (45.6% on a constant currency basis).</w:t>
      </w:r>
    </w:p>
    <w:p>
      <w:pPr>
        <w:spacing w:after="0"/>
        <w:rPr>
          <w:sz w:val="20"/>
          <w:szCs w:val="20"/>
          <w:color w:val="auto"/>
        </w:rPr>
      </w:pPr>
      <w:r>
        <w:rPr>
          <w:rFonts w:ascii="Arial" w:cs="Arial" w:eastAsia="Arial" w:hAnsi="Arial"/>
          <w:sz w:val="16"/>
          <w:szCs w:val="16"/>
          <w:color w:val="auto"/>
        </w:rPr>
        <w:t>Equities ADV was up 32.6% with record ADV in U.S. and European ETFs.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$11.5 million in the first quarter of 2022 increased 6.5% compared to prior year period (8.1% on a constant currency basis).</w:t>
      </w:r>
    </w:p>
    <w:p>
      <w:pPr>
        <w:spacing w:after="0"/>
        <w:rPr>
          <w:sz w:val="20"/>
          <w:szCs w:val="20"/>
          <w:color w:val="auto"/>
        </w:rPr>
      </w:pPr>
      <w:r>
        <w:rPr>
          <w:rFonts w:ascii="Arial" w:cs="Arial" w:eastAsia="Arial" w:hAnsi="Arial"/>
          <w:sz w:val="16"/>
          <w:szCs w:val="16"/>
          <w:color w:val="auto"/>
        </w:rPr>
        <w:t>Money Markets ADV was up 6.4% led by record ADV in Repurchase Agreements.</w:t>
      </w:r>
    </w:p>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$21.4 million in the first quarter of 2022 increased 7.0% compared to prior year period (7.5% on a constant currency basis). The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was derived from increased third party market data fees, Refinitiv market data fees and revenue from our APA reporting service.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$5.4 million in the first quarter of 2022 decreased 16.2% compared to prior year period (16.2% decrease on a constant currency basis).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The decrease was driven primarily by lower fees from software development and implementation projects performed on behalf of certain retail clients.</w:t>
      </w:r>
    </w:p>
    <w:p>
      <w:pPr>
        <w:spacing w:after="0" w:line="215" w:lineRule="exact"/>
        <w:rPr>
          <w:sz w:val="20"/>
          <w:szCs w:val="20"/>
          <w:color w:val="auto"/>
        </w:rPr>
      </w:pPr>
    </w:p>
    <w:p>
      <w:pPr>
        <w:ind w:right="240"/>
        <w:spacing w:after="0" w:line="225"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$199.9 million in the first quarter of 2022 increased 14.2% compared to $175.1 million in the prior year period due to: higher</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 compensation and benefits associated with higher headcount to support growth and higher performance-related compensation; higher depreciation and amortization expense; higher technology and communications expenses primarily due to increased clearing, data and client service fees driven by higher trading volumes; and higher general and administrative expense, as foreign exchange gains decreased and travel and entertainment expense increased following the easing of restrictions relating to the pandemic.</w:t>
      </w:r>
    </w:p>
    <w:p>
      <w:pPr>
        <w:spacing w:after="0" w:line="20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$163.5 million increased 14.6% (17.1% on a constant currency basis) compared to the prior year period due to: higher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and benefits associated with higher headcount to support growth and higher performance-related compensation; higher technology and communications expenses; higher depreciation and amortization expenses; and higher general and administrative expenses. Please see "Non-GAAP Financial Measures" below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3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$828.1 million in cash and cash equivalents and an undrawn $500 million credit facility at March 31, 2022</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Non-acquisition related capital expenditures and capitalization of software development in first quarter 2022: $18.0 million</w:t>
      </w:r>
    </w:p>
    <w:p>
      <w:pPr>
        <w:spacing w:after="0" w:line="5" w:lineRule="exact"/>
        <w:rPr>
          <w:rFonts w:ascii="Arial" w:cs="Arial" w:eastAsia="Arial" w:hAnsi="Arial"/>
          <w:sz w:val="16"/>
          <w:szCs w:val="16"/>
          <w:color w:val="auto"/>
        </w:rPr>
      </w:pPr>
    </w:p>
    <w:p>
      <w:pPr>
        <w:ind w:left="660" w:right="140" w:hanging="328"/>
        <w:spacing w:after="0" w:line="24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Free cash flow for the trailing twelve months ended March 31, 2022 of $510.9 million, up 7.8% compared to the prior year period. See “Non-GAAP Financial Measures” for additional information</w:t>
      </w:r>
    </w:p>
    <w:p>
      <w:pPr>
        <w:ind w:left="660" w:right="280" w:hanging="328"/>
        <w:spacing w:after="0"/>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During the first quarter of 2022, as part of its Share Repurchase Program, Tradeweb purchased 559,428 shares of Class A common stock, at an average price of $84.59, for purchases totaling $47.3 million. As of March 31, 2022, a total of $27.0 million remained available for repurchase pursuant to the Share Repurchase Program</w:t>
      </w:r>
    </w:p>
    <w:p>
      <w:pPr>
        <w:spacing w:after="0" w:line="1" w:lineRule="exact"/>
        <w:rPr>
          <w:rFonts w:ascii="Arial" w:cs="Arial" w:eastAsia="Arial" w:hAnsi="Arial"/>
          <w:sz w:val="16"/>
          <w:szCs w:val="16"/>
          <w:color w:val="auto"/>
        </w:rPr>
      </w:pPr>
    </w:p>
    <w:p>
      <w:pPr>
        <w:ind w:left="660" w:right="42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$95.8 million in shares were withheld in the first quarter of 2022 to satisfy tax obligations related to the exercise of stock options and vesting of restricted stock units and performance-based restricted stock units</w:t>
      </w:r>
    </w:p>
    <w:p>
      <w:pPr>
        <w:spacing w:after="0" w:line="1" w:lineRule="exact"/>
        <w:rPr>
          <w:rFonts w:ascii="Arial" w:cs="Arial" w:eastAsia="Arial" w:hAnsi="Arial"/>
          <w:sz w:val="16"/>
          <w:szCs w:val="16"/>
          <w:color w:val="auto"/>
        </w:rPr>
      </w:pPr>
    </w:p>
    <w:p>
      <w:pPr>
        <w:ind w:left="660" w:right="4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Board of Directors of Tradeweb Markets Inc. declared a quarterly cash dividend of $0.08 per share of Class A common stock and Class B common stock. The dividend will be payable on June 15, 2022 to stockholders of record as of June 1, 2022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Full-Year 2022 Guidance*</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Full-Year 2022 guidance is unchanged from prior quarter.</w:t>
      </w:r>
    </w:p>
    <w:p>
      <w:pPr>
        <w:spacing w:after="0" w:line="5"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Expenses: $620 - $655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 and Refinitiv Transaction related depreciation and amortization expense: $127 million</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Assumed non-GAAP tax rate: ~22.0%</w:t>
      </w:r>
    </w:p>
    <w:p>
      <w:pPr>
        <w:spacing w:after="0" w:line="5"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Capital expenditures and capitalization of software development: $62 - $68 million</w:t>
      </w:r>
    </w:p>
    <w:p>
      <w:pPr>
        <w:spacing w:after="0" w:line="237" w:lineRule="exact"/>
        <w:rPr>
          <w:sz w:val="20"/>
          <w:szCs w:val="20"/>
          <w:color w:val="auto"/>
        </w:rPr>
      </w:pPr>
    </w:p>
    <w:p>
      <w:pPr>
        <w:ind w:left="340" w:right="40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83566"/>
        </w:rPr>
        <w:t>CONFERENCE CALL</w:t>
      </w:r>
    </w:p>
    <w:p>
      <w:pPr>
        <w:spacing w:after="0" w:line="13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Tradeweb Markets will hold a conference call to discuss first quarter 2022 results starting at 9:30 AM EDT today, April 28, 2022. A live, audio webcast of the conference call along with related materials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 xml:space="preserve">. Alternatively, interested parties can access the call by dialing 866-221-1629 (U.S.) or +1 470-495-9175 (international) and entering conference ID 9566847. After the conference call, an archived recording will be available at </w:t>
      </w:r>
      <w:r>
        <w:rPr>
          <w:rFonts w:ascii="Arial" w:cs="Arial" w:eastAsia="Arial" w:hAnsi="Arial"/>
          <w:sz w:val="16"/>
          <w:szCs w:val="16"/>
          <w:u w:val="single" w:color="auto"/>
          <w:color w:val="0E32E1"/>
        </w:rPr>
        <w:t>http://investors.tradeweb.com</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33"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$1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INCOME STATEMENT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8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180" w:type="dxa"/>
            <w:vAlign w:val="bottom"/>
            <w:tcBorders>
              <w:bottom w:val="single" w:sz="8" w:color="auto"/>
            </w:tcBorders>
          </w:tcPr>
          <w:p>
            <w:pPr>
              <w:spacing w:after="0"/>
              <w:rPr>
                <w:sz w:val="22"/>
                <w:szCs w:val="22"/>
                <w:color w:val="auto"/>
              </w:rPr>
            </w:pPr>
          </w:p>
        </w:tc>
      </w:tr>
      <w:tr>
        <w:trPr>
          <w:trHeight w:val="237"/>
        </w:trPr>
        <w:tc>
          <w:tcPr>
            <w:tcW w:w="8140" w:type="dxa"/>
            <w:vAlign w:val="bottom"/>
            <w:tcBorders>
              <w:bottom w:val="single" w:sz="8" w:color="D5DCE4"/>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3"/>
        </w:trPr>
        <w:tc>
          <w:tcPr>
            <w:tcW w:w="814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shd w:val="clear" w:color="auto" w:fill="D5DCE4"/>
          </w:tcPr>
          <w:p>
            <w:pPr>
              <w:spacing w:after="0"/>
              <w:rPr>
                <w:sz w:val="21"/>
                <w:szCs w:val="21"/>
                <w:color w:val="auto"/>
              </w:rPr>
            </w:pPr>
          </w:p>
        </w:tc>
        <w:tc>
          <w:tcPr>
            <w:tcW w:w="1360" w:type="dxa"/>
            <w:vAlign w:val="bottom"/>
            <w:gridSpan w:val="2"/>
            <w:shd w:val="clear" w:color="auto" w:fill="D5DCE4"/>
          </w:tcPr>
          <w:p>
            <w:pPr>
              <w:ind w:left="120"/>
              <w:spacing w:after="0"/>
              <w:rPr>
                <w:sz w:val="20"/>
                <w:szCs w:val="20"/>
                <w:color w:val="auto"/>
              </w:rPr>
            </w:pPr>
            <w:r>
              <w:rPr>
                <w:rFonts w:ascii="Arial" w:cs="Arial" w:eastAsia="Arial" w:hAnsi="Arial"/>
                <w:sz w:val="16"/>
                <w:szCs w:val="16"/>
                <w:color w:val="auto"/>
              </w:rPr>
              <w:t>(unaudited)</w:t>
            </w: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(unaudited)</w:t>
            </w:r>
          </w:p>
        </w:tc>
      </w:tr>
      <w:tr>
        <w:trPr>
          <w:trHeight w:val="233"/>
        </w:trPr>
        <w:tc>
          <w:tcPr>
            <w:tcW w:w="814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251,805</w:t>
            </w:r>
          </w:p>
        </w:tc>
        <w:tc>
          <w:tcPr>
            <w:tcW w:w="80" w:type="dxa"/>
            <w:vAlign w:val="bottom"/>
          </w:tcPr>
          <w:p>
            <w:pPr>
              <w:spacing w:after="0"/>
              <w:rPr>
                <w:sz w:val="20"/>
                <w:szCs w:val="20"/>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217,816</w:t>
            </w:r>
          </w:p>
        </w:tc>
      </w:tr>
      <w:tr>
        <w:trPr>
          <w:trHeight w:val="253"/>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41,455</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37,868</w:t>
            </w:r>
          </w:p>
        </w:tc>
      </w:tr>
      <w:tr>
        <w:trPr>
          <w:trHeight w:val="233"/>
        </w:trPr>
        <w:tc>
          <w:tcPr>
            <w:tcW w:w="8140" w:type="dxa"/>
            <w:vAlign w:val="bottom"/>
          </w:tcPr>
          <w:p>
            <w:pPr>
              <w:ind w:left="140"/>
              <w:spacing w:after="0"/>
              <w:rPr>
                <w:sz w:val="20"/>
                <w:szCs w:val="20"/>
                <w:color w:val="auto"/>
              </w:rPr>
            </w:pPr>
            <w:r>
              <w:rPr>
                <w:rFonts w:ascii="Arial" w:cs="Arial" w:eastAsia="Arial" w:hAnsi="Arial"/>
                <w:sz w:val="16"/>
                <w:szCs w:val="16"/>
                <w:color w:val="auto"/>
              </w:rPr>
              <w:t>Refinitiv market data fees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15,558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15,117</w:t>
            </w:r>
          </w:p>
        </w:tc>
      </w:tr>
      <w:tr>
        <w:trPr>
          <w:trHeight w:val="246"/>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2,668</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2,598</w:t>
            </w:r>
          </w:p>
        </w:tc>
      </w:tr>
      <w:tr>
        <w:trPr>
          <w:trHeight w:val="233"/>
        </w:trPr>
        <w:tc>
          <w:tcPr>
            <w:tcW w:w="814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311,486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273,399</w:t>
            </w:r>
          </w:p>
        </w:tc>
      </w:tr>
      <w:tr>
        <w:trPr>
          <w:trHeight w:val="280"/>
        </w:trPr>
        <w:tc>
          <w:tcPr>
            <w:tcW w:w="8140" w:type="dxa"/>
            <w:vAlign w:val="bottom"/>
            <w:shd w:val="clear" w:color="auto" w:fill="D5DCE4"/>
          </w:tcPr>
          <w:p>
            <w:pPr>
              <w:spacing w:after="0"/>
              <w:rPr>
                <w:sz w:val="24"/>
                <w:szCs w:val="24"/>
                <w:color w:val="auto"/>
              </w:rPr>
            </w:pPr>
          </w:p>
        </w:tc>
        <w:tc>
          <w:tcPr>
            <w:tcW w:w="220" w:type="dxa"/>
            <w:vAlign w:val="bottom"/>
            <w:shd w:val="clear" w:color="auto" w:fill="D5DCE4"/>
          </w:tcPr>
          <w:p>
            <w:pPr>
              <w:spacing w:after="0"/>
              <w:rPr>
                <w:sz w:val="24"/>
                <w:szCs w:val="24"/>
                <w:color w:val="auto"/>
              </w:rPr>
            </w:pPr>
          </w:p>
        </w:tc>
        <w:tc>
          <w:tcPr>
            <w:tcW w:w="1280" w:type="dxa"/>
            <w:vAlign w:val="bottom"/>
            <w:shd w:val="clear" w:color="auto" w:fill="D5DCE4"/>
          </w:tcPr>
          <w:p>
            <w:pPr>
              <w:spacing w:after="0"/>
              <w:rPr>
                <w:sz w:val="24"/>
                <w:szCs w:val="24"/>
                <w:color w:val="auto"/>
              </w:rPr>
            </w:pPr>
          </w:p>
        </w:tc>
        <w:tc>
          <w:tcPr>
            <w:tcW w:w="80" w:type="dxa"/>
            <w:vAlign w:val="bottom"/>
            <w:shd w:val="clear" w:color="auto" w:fill="D5DCE4"/>
          </w:tcPr>
          <w:p>
            <w:pPr>
              <w:spacing w:after="0"/>
              <w:rPr>
                <w:sz w:val="24"/>
                <w:szCs w:val="24"/>
                <w:color w:val="auto"/>
              </w:rPr>
            </w:pPr>
          </w:p>
        </w:tc>
        <w:tc>
          <w:tcPr>
            <w:tcW w:w="340" w:type="dxa"/>
            <w:vAlign w:val="bottom"/>
            <w:shd w:val="clear" w:color="auto" w:fill="D5DCE4"/>
          </w:tcPr>
          <w:p>
            <w:pPr>
              <w:spacing w:after="0"/>
              <w:rPr>
                <w:sz w:val="24"/>
                <w:szCs w:val="24"/>
                <w:color w:val="auto"/>
              </w:rPr>
            </w:pPr>
          </w:p>
        </w:tc>
        <w:tc>
          <w:tcPr>
            <w:tcW w:w="1180" w:type="dxa"/>
            <w:vAlign w:val="bottom"/>
            <w:shd w:val="clear" w:color="auto" w:fill="D5DCE4"/>
          </w:tcPr>
          <w:p>
            <w:pPr>
              <w:spacing w:after="0"/>
              <w:rPr>
                <w:sz w:val="24"/>
                <w:szCs w:val="24"/>
                <w:color w:val="auto"/>
              </w:rPr>
            </w:pPr>
          </w:p>
        </w:tc>
      </w:tr>
      <w:tr>
        <w:trPr>
          <w:trHeight w:val="23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3"/>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117,991</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103,622</w:t>
            </w:r>
          </w:p>
        </w:tc>
      </w:tr>
      <w:tr>
        <w:trPr>
          <w:trHeight w:val="233"/>
        </w:trPr>
        <w:tc>
          <w:tcPr>
            <w:tcW w:w="814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44,450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40,966</w:t>
            </w:r>
          </w:p>
        </w:tc>
      </w:tr>
      <w:tr>
        <w:trPr>
          <w:trHeight w:val="253"/>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15,776</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13,544</w:t>
            </w:r>
          </w:p>
        </w:tc>
      </w:tr>
      <w:tr>
        <w:trPr>
          <w:trHeight w:val="233"/>
        </w:trPr>
        <w:tc>
          <w:tcPr>
            <w:tcW w:w="814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3,459</w:t>
            </w:r>
          </w:p>
        </w:tc>
      </w:tr>
      <w:tr>
        <w:trPr>
          <w:trHeight w:val="253"/>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7,857</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9,728</w:t>
            </w:r>
          </w:p>
        </w:tc>
      </w:tr>
      <w:tr>
        <w:trPr>
          <w:trHeight w:val="237"/>
        </w:trPr>
        <w:tc>
          <w:tcPr>
            <w:tcW w:w="814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3,753</w:t>
            </w:r>
          </w:p>
        </w:tc>
      </w:tr>
      <w:tr>
        <w:trPr>
          <w:trHeight w:val="237"/>
        </w:trPr>
        <w:tc>
          <w:tcPr>
            <w:tcW w:w="814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199,884</w:t>
            </w:r>
          </w:p>
        </w:tc>
        <w:tc>
          <w:tcPr>
            <w:tcW w:w="80" w:type="dxa"/>
            <w:vAlign w:val="bottom"/>
            <w:shd w:val="clear" w:color="auto" w:fill="D5DCE4"/>
          </w:tcPr>
          <w:p>
            <w:pPr>
              <w:spacing w:after="0"/>
              <w:rPr>
                <w:sz w:val="20"/>
                <w:szCs w:val="20"/>
                <w:color w:val="auto"/>
              </w:rPr>
            </w:pPr>
          </w:p>
        </w:tc>
        <w:tc>
          <w:tcPr>
            <w:tcW w:w="34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175,072</w:t>
            </w:r>
          </w:p>
        </w:tc>
      </w:tr>
      <w:tr>
        <w:trPr>
          <w:trHeight w:val="23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111,602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98,327</w:t>
            </w:r>
          </w:p>
        </w:tc>
      </w:tr>
      <w:tr>
        <w:trPr>
          <w:trHeight w:val="246"/>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Net interest income (expense)</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(447)</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(493)</w:t>
            </w:r>
          </w:p>
        </w:tc>
      </w:tr>
      <w:tr>
        <w:trPr>
          <w:trHeight w:val="236"/>
        </w:trPr>
        <w:tc>
          <w:tcPr>
            <w:tcW w:w="814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111,155</w:t>
            </w:r>
          </w:p>
        </w:tc>
        <w:tc>
          <w:tcPr>
            <w:tcW w:w="8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97,834</w:t>
            </w:r>
          </w:p>
        </w:tc>
      </w:tr>
      <w:tr>
        <w:trPr>
          <w:trHeight w:val="237"/>
        </w:trPr>
        <w:tc>
          <w:tcPr>
            <w:tcW w:w="814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D5DCE4"/>
          </w:tcPr>
          <w:p>
            <w:pPr>
              <w:spacing w:after="0"/>
              <w:rPr>
                <w:sz w:val="20"/>
                <w:szCs w:val="20"/>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(13,710)</w:t>
            </w:r>
          </w:p>
        </w:tc>
        <w:tc>
          <w:tcPr>
            <w:tcW w:w="80" w:type="dxa"/>
            <w:vAlign w:val="bottom"/>
            <w:shd w:val="clear" w:color="auto" w:fill="D5DCE4"/>
          </w:tcPr>
          <w:p>
            <w:pPr>
              <w:spacing w:after="0"/>
              <w:rPr>
                <w:sz w:val="20"/>
                <w:szCs w:val="20"/>
                <w:color w:val="auto"/>
              </w:rPr>
            </w:pPr>
          </w:p>
        </w:tc>
        <w:tc>
          <w:tcPr>
            <w:tcW w:w="340" w:type="dxa"/>
            <w:vAlign w:val="bottom"/>
            <w:tcBorders>
              <w:bottom w:val="single" w:sz="8" w:color="auto"/>
            </w:tcBorders>
            <w:shd w:val="clear" w:color="auto" w:fill="D5DCE4"/>
          </w:tcPr>
          <w:p>
            <w:pPr>
              <w:spacing w:after="0"/>
              <w:rPr>
                <w:sz w:val="20"/>
                <w:szCs w:val="20"/>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(16,269)</w:t>
            </w:r>
          </w:p>
        </w:tc>
      </w:tr>
      <w:tr>
        <w:trPr>
          <w:trHeight w:val="23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97,445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81,565</w:t>
            </w:r>
          </w:p>
        </w:tc>
      </w:tr>
      <w:tr>
        <w:trPr>
          <w:trHeight w:val="246"/>
        </w:trPr>
        <w:tc>
          <w:tcPr>
            <w:tcW w:w="814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20" w:type="dxa"/>
            <w:vAlign w:val="bottom"/>
            <w:tcBorders>
              <w:bottom w:val="single" w:sz="8" w:color="auto"/>
            </w:tcBorders>
            <w:shd w:val="clear" w:color="auto" w:fill="D5DCE4"/>
          </w:tcPr>
          <w:p>
            <w:pPr>
              <w:spacing w:after="0"/>
              <w:rPr>
                <w:sz w:val="21"/>
                <w:szCs w:val="21"/>
                <w:color w:val="auto"/>
              </w:rPr>
            </w:pP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14,480</w:t>
            </w: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13,706</w:t>
            </w:r>
          </w:p>
        </w:tc>
      </w:tr>
      <w:tr>
        <w:trPr>
          <w:trHeight w:val="243"/>
        </w:trPr>
        <w:tc>
          <w:tcPr>
            <w:tcW w:w="81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82,965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67,859</w:t>
            </w:r>
          </w:p>
        </w:tc>
      </w:tr>
      <w:tr>
        <w:trPr>
          <w:trHeight w:val="20"/>
        </w:trPr>
        <w:tc>
          <w:tcPr>
            <w:tcW w:w="814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8140" w:type="dxa"/>
            <w:vAlign w:val="bottom"/>
            <w:shd w:val="clear" w:color="auto" w:fill="D5DCE4"/>
          </w:tcPr>
          <w:p>
            <w:pPr>
              <w:spacing w:after="0"/>
              <w:rPr>
                <w:sz w:val="19"/>
                <w:szCs w:val="19"/>
                <w:color w:val="auto"/>
              </w:rPr>
            </w:pPr>
          </w:p>
        </w:tc>
        <w:tc>
          <w:tcPr>
            <w:tcW w:w="220" w:type="dxa"/>
            <w:vAlign w:val="bottom"/>
            <w:shd w:val="clear" w:color="auto" w:fill="D5DCE4"/>
          </w:tcPr>
          <w:p>
            <w:pPr>
              <w:spacing w:after="0"/>
              <w:rPr>
                <w:sz w:val="19"/>
                <w:szCs w:val="19"/>
                <w:color w:val="auto"/>
              </w:rPr>
            </w:pPr>
          </w:p>
        </w:tc>
        <w:tc>
          <w:tcPr>
            <w:tcW w:w="128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340" w:type="dxa"/>
            <w:vAlign w:val="bottom"/>
            <w:shd w:val="clear" w:color="auto" w:fill="D5DCE4"/>
          </w:tcPr>
          <w:p>
            <w:pPr>
              <w:spacing w:after="0"/>
              <w:rPr>
                <w:sz w:val="19"/>
                <w:szCs w:val="19"/>
                <w:color w:val="auto"/>
              </w:rPr>
            </w:pPr>
          </w:p>
        </w:tc>
        <w:tc>
          <w:tcPr>
            <w:tcW w:w="1180" w:type="dxa"/>
            <w:vAlign w:val="bottom"/>
            <w:shd w:val="clear" w:color="auto" w:fill="D5DCE4"/>
          </w:tcPr>
          <w:p>
            <w:pPr>
              <w:spacing w:after="0"/>
              <w:rPr>
                <w:sz w:val="19"/>
                <w:szCs w:val="19"/>
                <w:color w:val="auto"/>
              </w:rPr>
            </w:pPr>
          </w:p>
        </w:tc>
      </w:tr>
      <w:tr>
        <w:trPr>
          <w:trHeight w:val="233"/>
        </w:trPr>
        <w:tc>
          <w:tcPr>
            <w:tcW w:w="814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 and B common stockholders: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8"/>
        </w:trPr>
        <w:tc>
          <w:tcPr>
            <w:tcW w:w="814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0.41</w:t>
            </w:r>
          </w:p>
        </w:tc>
        <w:tc>
          <w:tcPr>
            <w:tcW w:w="80" w:type="dxa"/>
            <w:vAlign w:val="bottom"/>
            <w:tcBorders>
              <w:bottom w:val="single" w:sz="8" w:color="D5DCE4"/>
            </w:tcBorders>
            <w:shd w:val="clear" w:color="auto" w:fill="D5DCE4"/>
          </w:tcPr>
          <w:p>
            <w:pPr>
              <w:spacing w:after="0"/>
              <w:rPr>
                <w:sz w:val="23"/>
                <w:szCs w:val="23"/>
                <w:color w:val="auto"/>
              </w:rPr>
            </w:pPr>
          </w:p>
        </w:tc>
        <w:tc>
          <w:tcPr>
            <w:tcW w:w="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0.34</w:t>
            </w:r>
          </w:p>
        </w:tc>
      </w:tr>
      <w:tr>
        <w:trPr>
          <w:trHeight w:val="20"/>
        </w:trPr>
        <w:tc>
          <w:tcPr>
            <w:tcW w:w="8140" w:type="dxa"/>
            <w:vAlign w:val="bottom"/>
            <w:tcBorders>
              <w:top w:val="single" w:sz="8" w:color="D5DCE4"/>
            </w:tcBorders>
          </w:tcPr>
          <w:p>
            <w:pPr>
              <w:spacing w:after="0" w:line="20" w:lineRule="exact"/>
              <w:rPr>
                <w:sz w:val="1"/>
                <w:szCs w:val="1"/>
                <w:color w:val="auto"/>
              </w:rPr>
            </w:pPr>
          </w:p>
        </w:tc>
        <w:tc>
          <w:tcPr>
            <w:tcW w:w="220" w:type="dxa"/>
            <w:vAlign w:val="bottom"/>
            <w:tcBorders>
              <w:top w:val="single" w:sz="8" w:color="D5DCE4"/>
              <w:bottom w:val="single" w:sz="8" w:color="auto"/>
            </w:tcBorders>
          </w:tcPr>
          <w:p>
            <w:pPr>
              <w:spacing w:after="0" w:line="20" w:lineRule="exact"/>
              <w:rPr>
                <w:sz w:val="1"/>
                <w:szCs w:val="1"/>
                <w:color w:val="auto"/>
              </w:rPr>
            </w:pPr>
          </w:p>
        </w:tc>
        <w:tc>
          <w:tcPr>
            <w:tcW w:w="12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8140" w:type="dxa"/>
            <w:vAlign w:val="bottom"/>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r>
      <w:tr>
        <w:trPr>
          <w:trHeight w:val="20"/>
        </w:trPr>
        <w:tc>
          <w:tcPr>
            <w:tcW w:w="8140" w:type="dxa"/>
            <w:vAlign w:val="bottom"/>
            <w:tcBorders>
              <w:bottom w:val="single" w:sz="8" w:color="D5DCE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814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20" w:type="dxa"/>
            <w:vAlign w:val="bottom"/>
            <w:shd w:val="clear" w:color="auto" w:fill="D5DCE4"/>
          </w:tcPr>
          <w:p>
            <w:pPr>
              <w:spacing w:after="0"/>
              <w:rPr>
                <w:sz w:val="18"/>
                <w:szCs w:val="18"/>
                <w:color w:val="auto"/>
              </w:rPr>
            </w:pPr>
          </w:p>
        </w:tc>
        <w:tc>
          <w:tcPr>
            <w:tcW w:w="128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340" w:type="dxa"/>
            <w:vAlign w:val="bottom"/>
            <w:shd w:val="clear" w:color="auto" w:fill="D5DCE4"/>
          </w:tcPr>
          <w:p>
            <w:pPr>
              <w:spacing w:after="0"/>
              <w:rPr>
                <w:sz w:val="18"/>
                <w:szCs w:val="18"/>
                <w:color w:val="auto"/>
              </w:rPr>
            </w:pPr>
          </w:p>
        </w:tc>
        <w:tc>
          <w:tcPr>
            <w:tcW w:w="1180" w:type="dxa"/>
            <w:vAlign w:val="bottom"/>
            <w:shd w:val="clear" w:color="auto" w:fill="D5DCE4"/>
          </w:tcPr>
          <w:p>
            <w:pPr>
              <w:spacing w:after="0"/>
              <w:rPr>
                <w:sz w:val="18"/>
                <w:szCs w:val="18"/>
                <w:color w:val="auto"/>
              </w:rPr>
            </w:pPr>
          </w:p>
        </w:tc>
      </w:tr>
      <w:tr>
        <w:trPr>
          <w:trHeight w:val="233"/>
        </w:trPr>
        <w:tc>
          <w:tcPr>
            <w:tcW w:w="8140" w:type="dxa"/>
            <w:vAlign w:val="bottom"/>
          </w:tcPr>
          <w:p>
            <w:pPr>
              <w:ind w:left="140"/>
              <w:spacing w:after="0"/>
              <w:rPr>
                <w:sz w:val="20"/>
                <w:szCs w:val="20"/>
                <w:color w:val="auto"/>
              </w:rPr>
            </w:pPr>
            <w:r>
              <w:rPr>
                <w:rFonts w:ascii="Arial" w:cs="Arial" w:eastAsia="Arial" w:hAnsi="Arial"/>
                <w:sz w:val="16"/>
                <w:szCs w:val="16"/>
                <w:color w:val="auto"/>
              </w:rPr>
              <w:t>Basic</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204,061,347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199,064,607</w:t>
            </w:r>
          </w:p>
        </w:tc>
      </w:tr>
      <w:tr>
        <w:trPr>
          <w:trHeight w:val="253"/>
        </w:trPr>
        <w:tc>
          <w:tcPr>
            <w:tcW w:w="814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D5DCE4"/>
          </w:tcPr>
          <w:p>
            <w:pPr>
              <w:spacing w:after="0"/>
              <w:rPr>
                <w:sz w:val="21"/>
                <w:szCs w:val="21"/>
                <w:color w:val="auto"/>
              </w:rPr>
            </w:pPr>
          </w:p>
        </w:tc>
        <w:tc>
          <w:tcPr>
            <w:tcW w:w="12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207,497,102</w:t>
            </w: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205,028,717</w:t>
            </w:r>
          </w:p>
        </w:tc>
      </w:tr>
    </w:tbl>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103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350" w:lineRule="exact"/>
        <w:rPr>
          <w:sz w:val="20"/>
          <w:szCs w:val="20"/>
          <w:color w:val="auto"/>
        </w:rPr>
      </w:pPr>
    </w:p>
    <w:p>
      <w:pPr>
        <w:ind w:left="20" w:right="440"/>
        <w:spacing w:after="0" w:line="28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4903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right="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31750</wp:posOffset>
            </wp:positionV>
            <wp:extent cx="2108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53"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2022</w:t>
      </w:r>
      <w:r>
        <w:rPr>
          <w:sz w:val="20"/>
          <w:szCs w:val="20"/>
          <w:color w:val="auto"/>
        </w:rPr>
        <w:tab/>
      </w:r>
      <w:r>
        <w:rPr>
          <w:rFonts w:ascii="Arial" w:cs="Arial" w:eastAsia="Arial" w:hAnsi="Arial"/>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31750</wp:posOffset>
            </wp:positionV>
            <wp:extent cx="2108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(dollars in thousands)</w:t>
      </w:r>
    </w:p>
    <w:p>
      <w:pPr>
        <w:spacing w:after="0" w:line="51" w:lineRule="exact"/>
        <w:rPr>
          <w:sz w:val="20"/>
          <w:szCs w:val="20"/>
          <w:color w:val="auto"/>
        </w:rPr>
      </w:pPr>
    </w:p>
    <w:p>
      <w:pPr>
        <w:sectPr>
          <w:pgSz w:w="11900" w:h="16838" w:orient="portrait"/>
          <w:cols w:equalWidth="0" w:num="2">
            <w:col w:w="7820" w:space="720"/>
            <w:col w:w="2700"/>
          </w:cols>
          <w:pgMar w:left="320" w:top="688" w:right="339" w:bottom="1440" w:gutter="0" w:footer="0" w:header="0"/>
        </w:sectPr>
      </w:pPr>
    </w:p>
    <w:tbl>
      <w:tblPr>
        <w:tblLayout w:type="fixed"/>
        <w:tblInd w:w="0" w:type="dxa"/>
        <w:tblCellMar>
          <w:top w:w="0" w:type="dxa"/>
          <w:left w:w="0" w:type="dxa"/>
          <w:bottom w:w="0" w:type="dxa"/>
          <w:right w:w="0" w:type="dxa"/>
        </w:tblCellMar>
      </w:tblPr>
      <w:tr>
        <w:trPr>
          <w:trHeight w:val="242"/>
        </w:trPr>
        <w:tc>
          <w:tcPr>
            <w:tcW w:w="792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97,445</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81,565</w:t>
            </w:r>
          </w:p>
        </w:tc>
      </w:tr>
      <w:tr>
        <w:trPr>
          <w:trHeight w:val="243"/>
        </w:trPr>
        <w:tc>
          <w:tcPr>
            <w:tcW w:w="7920" w:type="dxa"/>
            <w:vAlign w:val="bottom"/>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4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1,761</w:t>
            </w:r>
          </w:p>
        </w:tc>
      </w:tr>
      <w:tr>
        <w:trPr>
          <w:trHeight w:val="243"/>
        </w:trPr>
        <w:tc>
          <w:tcPr>
            <w:tcW w:w="792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interest (income) expense</w:t>
            </w:r>
          </w:p>
        </w:tc>
        <w:tc>
          <w:tcPr>
            <w:tcW w:w="46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447</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493</w:t>
            </w: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44,450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40,966</w:t>
            </w:r>
          </w:p>
        </w:tc>
      </w:tr>
      <w:tr>
        <w:trPr>
          <w:trHeight w:val="253"/>
        </w:trPr>
        <w:tc>
          <w:tcPr>
            <w:tcW w:w="792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46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3,869</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6,383</w:t>
            </w:r>
          </w:p>
        </w:tc>
      </w:tr>
      <w:tr>
        <w:trPr>
          <w:trHeight w:val="233"/>
        </w:trPr>
        <w:tc>
          <w:tcPr>
            <w:tcW w:w="792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13,710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16,269</w:t>
            </w:r>
          </w:p>
        </w:tc>
      </w:tr>
      <w:tr>
        <w:trPr>
          <w:trHeight w:val="253"/>
        </w:trPr>
        <w:tc>
          <w:tcPr>
            <w:tcW w:w="792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46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732</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16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(5,353)</w:t>
            </w:r>
          </w:p>
        </w:tc>
      </w:tr>
      <w:tr>
        <w:trPr>
          <w:trHeight w:val="243"/>
        </w:trPr>
        <w:tc>
          <w:tcPr>
            <w:tcW w:w="792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460" w:type="dxa"/>
            <w:vAlign w:val="bottom"/>
          </w:tcPr>
          <w:p>
            <w:pPr>
              <w:spacing w:after="0"/>
              <w:rPr>
                <w:sz w:val="21"/>
                <w:szCs w:val="21"/>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1"/>
                <w:szCs w:val="21"/>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w:t>
            </w:r>
          </w:p>
        </w:tc>
      </w:tr>
      <w:tr>
        <w:trPr>
          <w:trHeight w:val="261"/>
        </w:trPr>
        <w:tc>
          <w:tcPr>
            <w:tcW w:w="7920" w:type="dxa"/>
            <w:vAlign w:val="bottom"/>
            <w:tcBorders>
              <w:top w:val="single" w:sz="8" w:color="D5DCE4"/>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460" w:type="dxa"/>
            <w:vAlign w:val="bottom"/>
            <w:tcBorders>
              <w:top w:val="single" w:sz="8" w:color="auto"/>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160,635</w:t>
            </w:r>
          </w:p>
        </w:tc>
        <w:tc>
          <w:tcPr>
            <w:tcW w:w="80" w:type="dxa"/>
            <w:vAlign w:val="bottom"/>
            <w:tcBorders>
              <w:top w:val="single" w:sz="8" w:color="D5DCE4"/>
              <w:bottom w:val="single" w:sz="8" w:color="D5DCE4"/>
            </w:tcBorders>
            <w:shd w:val="clear" w:color="auto" w:fill="D5DCE4"/>
          </w:tcPr>
          <w:p>
            <w:pPr>
              <w:spacing w:after="0"/>
              <w:rPr>
                <w:sz w:val="22"/>
                <w:szCs w:val="22"/>
                <w:color w:val="auto"/>
              </w:rPr>
            </w:pPr>
          </w:p>
        </w:tc>
        <w:tc>
          <w:tcPr>
            <w:tcW w:w="460" w:type="dxa"/>
            <w:vAlign w:val="bottom"/>
            <w:tcBorders>
              <w:top w:val="single" w:sz="8" w:color="auto"/>
              <w:bottom w:val="single" w:sz="8" w:color="auto"/>
            </w:tcBorders>
            <w:shd w:val="clear" w:color="auto" w:fill="D5DCE4"/>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142,084</w:t>
            </w:r>
          </w:p>
        </w:tc>
      </w:tr>
      <w:tr>
        <w:trPr>
          <w:trHeight w:val="20"/>
        </w:trPr>
        <w:tc>
          <w:tcPr>
            <w:tcW w:w="792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D5DCE4"/>
              <w:bottom w:val="single" w:sz="8" w:color="auto"/>
            </w:tcBorders>
          </w:tcPr>
          <w:p>
            <w:pPr>
              <w:spacing w:after="0" w:line="20" w:lineRule="exact"/>
              <w:rPr>
                <w:sz w:val="1"/>
                <w:szCs w:val="1"/>
                <w:color w:val="auto"/>
              </w:rPr>
            </w:pPr>
          </w:p>
        </w:tc>
        <w:tc>
          <w:tcPr>
            <w:tcW w:w="1160" w:type="dxa"/>
            <w:vAlign w:val="bottom"/>
            <w:tcBorders>
              <w:top w:val="single" w:sz="8" w:color="D5DCE4"/>
              <w:bottom w:val="single" w:sz="8" w:color="auto"/>
            </w:tcBorders>
          </w:tcPr>
          <w:p>
            <w:pPr>
              <w:spacing w:after="0" w:line="20" w:lineRule="exact"/>
              <w:rPr>
                <w:sz w:val="1"/>
                <w:szCs w:val="1"/>
                <w:color w:val="auto"/>
              </w:rPr>
            </w:pPr>
          </w:p>
        </w:tc>
      </w:tr>
      <w:tr>
        <w:trPr>
          <w:trHeight w:val="207"/>
        </w:trPr>
        <w:tc>
          <w:tcPr>
            <w:tcW w:w="792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4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(44,450)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(40,966)</w:t>
            </w:r>
          </w:p>
        </w:tc>
      </w:tr>
      <w:tr>
        <w:trPr>
          <w:trHeight w:val="253"/>
        </w:trPr>
        <w:tc>
          <w:tcPr>
            <w:tcW w:w="792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Add: D&amp;A related to acquisitions and the Refinitiv Transaction </w:t>
            </w:r>
            <w:r>
              <w:rPr>
                <w:rFonts w:ascii="Arial" w:cs="Arial" w:eastAsia="Arial" w:hAnsi="Arial"/>
                <w:sz w:val="21"/>
                <w:szCs w:val="21"/>
                <w:color w:val="auto"/>
                <w:vertAlign w:val="superscript"/>
              </w:rPr>
              <w:t>(5)</w:t>
            </w:r>
          </w:p>
        </w:tc>
        <w:tc>
          <w:tcPr>
            <w:tcW w:w="46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31,769</w:t>
            </w:r>
          </w:p>
        </w:tc>
        <w:tc>
          <w:tcPr>
            <w:tcW w:w="80" w:type="dxa"/>
            <w:vAlign w:val="bottom"/>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29,603</w:t>
            </w:r>
          </w:p>
        </w:tc>
      </w:tr>
      <w:tr>
        <w:trPr>
          <w:trHeight w:val="237"/>
        </w:trPr>
        <w:tc>
          <w:tcPr>
            <w:tcW w:w="792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147,954</w:t>
            </w:r>
          </w:p>
        </w:tc>
        <w:tc>
          <w:tcPr>
            <w:tcW w:w="80" w:type="dxa"/>
            <w:vAlign w:val="bottom"/>
          </w:tcPr>
          <w:p>
            <w:pPr>
              <w:spacing w:after="0"/>
              <w:rPr>
                <w:sz w:val="20"/>
                <w:szCs w:val="20"/>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130,721</w:t>
            </w:r>
          </w:p>
        </w:tc>
      </w:tr>
      <w:tr>
        <w:trPr>
          <w:trHeight w:val="20"/>
        </w:trPr>
        <w:tc>
          <w:tcPr>
            <w:tcW w:w="7920" w:type="dxa"/>
            <w:vAlign w:val="bottom"/>
            <w:tcBorders>
              <w:bottom w:val="single" w:sz="8" w:color="D5DC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37"/>
        </w:trPr>
        <w:tc>
          <w:tcPr>
            <w:tcW w:w="792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46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51.6 %</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52.0 %</w:t>
            </w:r>
          </w:p>
        </w:tc>
      </w:tr>
      <w:tr>
        <w:trPr>
          <w:trHeight w:val="294"/>
        </w:trPr>
        <w:tc>
          <w:tcPr>
            <w:tcW w:w="7920" w:type="dxa"/>
            <w:vAlign w:val="bottom"/>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47.5 %</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47.8 %</w:t>
            </w:r>
          </w:p>
        </w:tc>
      </w:tr>
    </w:tbl>
    <w:p>
      <w:pPr>
        <w:spacing w:after="0" w:line="150" w:lineRule="exact"/>
        <w:rPr>
          <w:sz w:val="20"/>
          <w:szCs w:val="20"/>
          <w:color w:val="auto"/>
        </w:rPr>
      </w:pPr>
    </w:p>
    <w:p>
      <w:pPr>
        <w:ind w:left="660" w:right="140" w:hanging="328"/>
        <w:spacing w:after="0" w:line="234" w:lineRule="auto"/>
        <w:tabs>
          <w:tab w:leader="none" w:pos="65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right="40" w:hanging="328"/>
        <w:spacing w:after="0" w:line="234" w:lineRule="auto"/>
        <w:tabs>
          <w:tab w:leader="none" w:pos="65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totaling $2.1 million and $6.4 million during the three months ended March 31, 2022 and 2021, respectively, and non-cash accelerated stock-based compensation expense associated with our former CFO and our retiring CEO and related payroll taxes totaling $1.7 million during the three months ended March 31, 2022.</w:t>
      </w:r>
    </w:p>
    <w:p>
      <w:pPr>
        <w:spacing w:after="0" w:line="1" w:lineRule="exact"/>
        <w:rPr>
          <w:rFonts w:ascii="Arial" w:cs="Arial" w:eastAsia="Arial" w:hAnsi="Arial"/>
          <w:sz w:val="12"/>
          <w:szCs w:val="12"/>
          <w:color w:val="auto"/>
        </w:rPr>
      </w:pPr>
    </w:p>
    <w:p>
      <w:pPr>
        <w:ind w:left="660" w:right="340" w:hanging="328"/>
        <w:spacing w:after="0" w:line="234" w:lineRule="auto"/>
        <w:tabs>
          <w:tab w:leader="none" w:pos="65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20" w:hanging="328"/>
        <w:spacing w:after="0" w:line="234" w:lineRule="auto"/>
        <w:tabs>
          <w:tab w:leader="none" w:pos="65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hanging="328"/>
        <w:spacing w:after="0" w:line="234" w:lineRule="auto"/>
        <w:tabs>
          <w:tab w:leader="none" w:pos="659" w:val="left"/>
        </w:tabs>
        <w:numPr>
          <w:ilvl w:val="0"/>
          <w:numId w:val="5"/>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hanging="328"/>
        <w:spacing w:after="0"/>
        <w:tabs>
          <w:tab w:leader="none" w:pos="66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Adjusted EBITDA margin and Adjusted EBIT margin are defined as Adjusted EBITDA and Adjusted EBIT, respectively, divided by revenue for the applicable period.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70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22"/>
                <w:szCs w:val="22"/>
                <w:color w:val="auto"/>
              </w:rPr>
            </w:pPr>
          </w:p>
        </w:tc>
      </w:tr>
      <w:tr>
        <w:trPr>
          <w:trHeight w:val="237"/>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 Adjusted Diluted EPS</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74"/>
        </w:trPr>
        <w:tc>
          <w:tcPr>
            <w:tcW w:w="7080" w:type="dxa"/>
            <w:vAlign w:val="bottom"/>
          </w:tcPr>
          <w:p>
            <w:pPr>
              <w:spacing w:after="0"/>
              <w:rPr>
                <w:sz w:val="23"/>
                <w:szCs w:val="23"/>
                <w:color w:val="auto"/>
              </w:rPr>
            </w:pPr>
          </w:p>
        </w:tc>
        <w:tc>
          <w:tcPr>
            <w:tcW w:w="4160" w:type="dxa"/>
            <w:vAlign w:val="bottom"/>
            <w:gridSpan w:val="7"/>
          </w:tcPr>
          <w:p>
            <w:pPr>
              <w:jc w:val="right"/>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273"/>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1400" w:type="dxa"/>
            <w:vAlign w:val="bottom"/>
            <w:gridSpan w:val="3"/>
            <w:shd w:val="clear" w:color="auto" w:fill="D5DCE4"/>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0.40</w:t>
            </w:r>
          </w:p>
        </w:tc>
        <w:tc>
          <w:tcPr>
            <w:tcW w:w="80" w:type="dxa"/>
            <w:vAlign w:val="bottom"/>
            <w:shd w:val="clear" w:color="auto" w:fill="D5DCE4"/>
          </w:tcPr>
          <w:p>
            <w:pPr>
              <w:spacing w:after="0"/>
              <w:rPr>
                <w:sz w:val="23"/>
                <w:szCs w:val="23"/>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0.33</w:t>
            </w:r>
          </w:p>
        </w:tc>
      </w:tr>
      <w:tr>
        <w:trPr>
          <w:trHeight w:val="20"/>
        </w:trPr>
        <w:tc>
          <w:tcPr>
            <w:tcW w:w="7080" w:type="dxa"/>
            <w:vAlign w:val="bottom"/>
            <w:tcBorders>
              <w:top w:val="single" w:sz="8" w:color="D5DCE4"/>
            </w:tcBorders>
          </w:tcPr>
          <w:p>
            <w:pPr>
              <w:spacing w:after="0" w:line="20" w:lineRule="exact"/>
              <w:rPr>
                <w:sz w:val="1"/>
                <w:szCs w:val="1"/>
                <w:color w:val="auto"/>
              </w:rPr>
            </w:pPr>
          </w:p>
        </w:tc>
        <w:tc>
          <w:tcPr>
            <w:tcW w:w="9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1400" w:type="dxa"/>
            <w:vAlign w:val="bottom"/>
            <w:gridSpan w:val="3"/>
            <w:shd w:val="clear" w:color="auto" w:fill="D5DCE4"/>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82,965</w:t>
            </w:r>
          </w:p>
        </w:tc>
        <w:tc>
          <w:tcPr>
            <w:tcW w:w="80" w:type="dxa"/>
            <w:vAlign w:val="bottom"/>
            <w:shd w:val="clear" w:color="auto" w:fill="D5DCE4"/>
          </w:tcPr>
          <w:p>
            <w:pPr>
              <w:spacing w:after="0"/>
              <w:rPr>
                <w:sz w:val="18"/>
                <w:szCs w:val="18"/>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67,859</w:t>
            </w:r>
          </w:p>
        </w:tc>
      </w:tr>
      <w:tr>
        <w:trPr>
          <w:trHeight w:val="243"/>
        </w:trPr>
        <w:tc>
          <w:tcPr>
            <w:tcW w:w="70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980" w:type="dxa"/>
            <w:vAlign w:val="bottom"/>
            <w:tcBorders>
              <w:bottom w:val="single" w:sz="8" w:color="D5DCE4"/>
            </w:tcBorders>
          </w:tcPr>
          <w:p>
            <w:pPr>
              <w:spacing w:after="0"/>
              <w:rPr>
                <w:sz w:val="21"/>
                <w:szCs w:val="21"/>
                <w:color w:val="auto"/>
              </w:rPr>
            </w:pPr>
          </w:p>
        </w:tc>
        <w:tc>
          <w:tcPr>
            <w:tcW w:w="80" w:type="dxa"/>
            <w:vAlign w:val="bottom"/>
            <w:tcBorders>
              <w:bottom w:val="single" w:sz="8" w:color="D5DCE4"/>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14,480</w:t>
            </w:r>
          </w:p>
        </w:tc>
        <w:tc>
          <w:tcPr>
            <w:tcW w:w="80" w:type="dxa"/>
            <w:vAlign w:val="bottom"/>
            <w:tcBorders>
              <w:bottom w:val="single" w:sz="8" w:color="D5DCE4"/>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13,706</w:t>
            </w:r>
          </w:p>
        </w:tc>
      </w:tr>
      <w:tr>
        <w:trPr>
          <w:trHeight w:val="237"/>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980" w:type="dxa"/>
            <w:vAlign w:val="bottom"/>
            <w:shd w:val="clear" w:color="auto" w:fill="D5DCE4"/>
          </w:tcPr>
          <w:p>
            <w:pPr>
              <w:spacing w:after="0"/>
              <w:rPr>
                <w:sz w:val="20"/>
                <w:szCs w:val="20"/>
                <w:color w:val="auto"/>
              </w:rPr>
            </w:pPr>
          </w:p>
        </w:tc>
        <w:tc>
          <w:tcPr>
            <w:tcW w:w="80" w:type="dxa"/>
            <w:vAlign w:val="bottom"/>
            <w:shd w:val="clear" w:color="auto" w:fill="D5DCE4"/>
          </w:tcPr>
          <w:p>
            <w:pPr>
              <w:spacing w:after="0"/>
              <w:rPr>
                <w:sz w:val="20"/>
                <w:szCs w:val="20"/>
                <w:color w:val="auto"/>
              </w:rPr>
            </w:pPr>
          </w:p>
        </w:tc>
        <w:tc>
          <w:tcPr>
            <w:tcW w:w="340" w:type="dxa"/>
            <w:vAlign w:val="bottom"/>
            <w:shd w:val="clear" w:color="auto" w:fill="D5DCE4"/>
          </w:tcPr>
          <w:p>
            <w:pPr>
              <w:spacing w:after="0"/>
              <w:rPr>
                <w:sz w:val="20"/>
                <w:szCs w:val="20"/>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97,445</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spacing w:after="0"/>
              <w:rPr>
                <w:sz w:val="20"/>
                <w:szCs w:val="20"/>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81,565</w:t>
            </w:r>
          </w:p>
        </w:tc>
      </w:tr>
      <w:tr>
        <w:trPr>
          <w:trHeight w:val="233"/>
        </w:trPr>
        <w:tc>
          <w:tcPr>
            <w:tcW w:w="708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13,710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16,269</w:t>
            </w:r>
          </w:p>
        </w:tc>
      </w:tr>
      <w:tr>
        <w:trPr>
          <w:trHeight w:val="253"/>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(2)</w:t>
            </w:r>
          </w:p>
        </w:tc>
        <w:tc>
          <w:tcPr>
            <w:tcW w:w="9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1,761</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31,769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29,603</w:t>
            </w:r>
          </w:p>
        </w:tc>
      </w:tr>
      <w:tr>
        <w:trPr>
          <w:trHeight w:val="243"/>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9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3,869</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6,383</w:t>
            </w:r>
          </w:p>
        </w:tc>
      </w:tr>
      <w:tr>
        <w:trPr>
          <w:trHeight w:val="243"/>
        </w:trPr>
        <w:tc>
          <w:tcPr>
            <w:tcW w:w="708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(5,353)</w:t>
            </w:r>
          </w:p>
        </w:tc>
      </w:tr>
      <w:tr>
        <w:trPr>
          <w:trHeight w:val="243"/>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9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40" w:type="dxa"/>
            <w:vAlign w:val="bottom"/>
            <w:shd w:val="clear" w:color="auto" w:fill="D5DCE4"/>
          </w:tcPr>
          <w:p>
            <w:pPr>
              <w:spacing w:after="0"/>
              <w:rPr>
                <w:sz w:val="21"/>
                <w:szCs w:val="21"/>
                <w:color w:val="auto"/>
              </w:rPr>
            </w:pPr>
          </w:p>
        </w:tc>
        <w:tc>
          <w:tcPr>
            <w:tcW w:w="1240" w:type="dxa"/>
            <w:vAlign w:val="bottom"/>
            <w:gridSpan w:val="2"/>
            <w:shd w:val="clear" w:color="auto" w:fill="D5DCE4"/>
          </w:tcPr>
          <w:p>
            <w:pPr>
              <w:jc w:val="right"/>
              <w:ind w:right="140"/>
              <w:spacing w:after="0"/>
              <w:rPr>
                <w:sz w:val="20"/>
                <w:szCs w:val="20"/>
                <w:color w:val="auto"/>
              </w:rPr>
            </w:pPr>
            <w:r>
              <w:rPr>
                <w:rFonts w:ascii="Arial" w:cs="Arial" w:eastAsia="Arial" w:hAnsi="Arial"/>
                <w:sz w:val="16"/>
                <w:szCs w:val="16"/>
                <w:color w:val="auto"/>
              </w:rPr>
              <w:t>—</w:t>
            </w:r>
          </w:p>
        </w:tc>
        <w:tc>
          <w:tcPr>
            <w:tcW w:w="460" w:type="dxa"/>
            <w:vAlign w:val="bottom"/>
            <w:shd w:val="clear" w:color="auto" w:fill="D5DCE4"/>
          </w:tcPr>
          <w:p>
            <w:pPr>
              <w:spacing w:after="0"/>
              <w:rPr>
                <w:sz w:val="21"/>
                <w:szCs w:val="21"/>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708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147,507</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130,228</w:t>
            </w:r>
          </w:p>
        </w:tc>
      </w:tr>
      <w:tr>
        <w:trPr>
          <w:trHeight w:val="253"/>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98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(32,452)</w:t>
            </w:r>
          </w:p>
        </w:tc>
        <w:tc>
          <w:tcPr>
            <w:tcW w:w="80" w:type="dxa"/>
            <w:vAlign w:val="bottom"/>
            <w:shd w:val="clear" w:color="auto" w:fill="D5DCE4"/>
          </w:tcPr>
          <w:p>
            <w:pPr>
              <w:spacing w:after="0"/>
              <w:rPr>
                <w:sz w:val="21"/>
                <w:szCs w:val="21"/>
                <w:color w:val="auto"/>
              </w:rPr>
            </w:pPr>
          </w:p>
        </w:tc>
        <w:tc>
          <w:tcPr>
            <w:tcW w:w="460" w:type="dxa"/>
            <w:vAlign w:val="bottom"/>
            <w:tcBorders>
              <w:bottom w:val="single" w:sz="8" w:color="auto"/>
            </w:tcBorders>
            <w:shd w:val="clear" w:color="auto" w:fill="D5DCE4"/>
          </w:tcPr>
          <w:p>
            <w:pPr>
              <w:spacing w:after="0"/>
              <w:rPr>
                <w:sz w:val="21"/>
                <w:szCs w:val="21"/>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(28,650)</w:t>
            </w:r>
          </w:p>
        </w:tc>
      </w:tr>
      <w:tr>
        <w:trPr>
          <w:trHeight w:val="230"/>
        </w:trPr>
        <w:tc>
          <w:tcPr>
            <w:tcW w:w="708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14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115,055</w:t>
            </w:r>
          </w:p>
        </w:tc>
        <w:tc>
          <w:tcPr>
            <w:tcW w:w="8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101,578</w:t>
            </w:r>
          </w:p>
        </w:tc>
      </w:tr>
      <w:tr>
        <w:trPr>
          <w:trHeight w:val="21"/>
        </w:trPr>
        <w:tc>
          <w:tcPr>
            <w:tcW w:w="7080" w:type="dxa"/>
            <w:vAlign w:val="bottom"/>
            <w:tcBorders>
              <w:bottom w:val="single" w:sz="8" w:color="D5DCE4"/>
            </w:tcBorders>
          </w:tcPr>
          <w:p>
            <w:pPr>
              <w:spacing w:after="0" w:line="20" w:lineRule="exact"/>
              <w:rPr>
                <w:sz w:val="1"/>
                <w:szCs w:val="1"/>
                <w:color w:val="auto"/>
              </w:rPr>
            </w:pPr>
          </w:p>
        </w:tc>
        <w:tc>
          <w:tcPr>
            <w:tcW w:w="98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0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1400" w:type="dxa"/>
            <w:vAlign w:val="bottom"/>
            <w:gridSpan w:val="3"/>
            <w:shd w:val="clear" w:color="auto" w:fill="D5DCE4"/>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0.48</w:t>
            </w:r>
          </w:p>
        </w:tc>
        <w:tc>
          <w:tcPr>
            <w:tcW w:w="80" w:type="dxa"/>
            <w:vAlign w:val="bottom"/>
            <w:shd w:val="clear" w:color="auto" w:fill="D5DCE4"/>
          </w:tcPr>
          <w:p>
            <w:pPr>
              <w:spacing w:after="0"/>
              <w:rPr>
                <w:sz w:val="22"/>
                <w:szCs w:val="22"/>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0.43</w:t>
            </w:r>
          </w:p>
        </w:tc>
      </w:tr>
      <w:tr>
        <w:trPr>
          <w:trHeight w:val="20"/>
        </w:trPr>
        <w:tc>
          <w:tcPr>
            <w:tcW w:w="7080" w:type="dxa"/>
            <w:vAlign w:val="bottom"/>
            <w:tcBorders>
              <w:top w:val="single" w:sz="8" w:color="D5DCE4"/>
            </w:tcBorders>
          </w:tcPr>
          <w:p>
            <w:pPr>
              <w:spacing w:after="0" w:line="20" w:lineRule="exact"/>
              <w:rPr>
                <w:sz w:val="1"/>
                <w:szCs w:val="1"/>
                <w:color w:val="auto"/>
              </w:rPr>
            </w:pPr>
          </w:p>
        </w:tc>
        <w:tc>
          <w:tcPr>
            <w:tcW w:w="98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ind w:left="660" w:right="20" w:hanging="328"/>
        <w:spacing w:after="0" w:line="234" w:lineRule="auto"/>
        <w:tabs>
          <w:tab w:leader="none" w:pos="65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ind w:left="660" w:right="140" w:hanging="328"/>
        <w:spacing w:after="0" w:line="234" w:lineRule="auto"/>
        <w:tabs>
          <w:tab w:leader="none" w:pos="65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hanging="328"/>
        <w:spacing w:after="0" w:line="247" w:lineRule="auto"/>
        <w:tabs>
          <w:tab w:leader="none" w:pos="659" w:val="left"/>
        </w:tabs>
        <w:numPr>
          <w:ilvl w:val="0"/>
          <w:numId w:val="6"/>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ectPr>
          <w:pgSz w:w="11900" w:h="16838" w:orient="portrait"/>
          <w:cols w:equalWidth="0" w:num="1">
            <w:col w:w="11240"/>
          </w:cols>
          <w:pgMar w:left="320" w:top="688" w:right="339" w:bottom="1440" w:gutter="0" w:footer="0" w:header="0"/>
          <w:type w:val="continuous"/>
        </w:sectPr>
      </w:pPr>
    </w:p>
    <w:p>
      <w:pPr>
        <w:spacing w:after="0" w:line="94"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5</w:t>
      </w:r>
    </w:p>
    <w:p>
      <w:pPr>
        <w:sectPr>
          <w:pgSz w:w="11900" w:h="16838" w:orient="portrait"/>
          <w:cols w:equalWidth="0" w:num="1">
            <w:col w:w="11240"/>
          </w:cols>
          <w:pgMar w:left="320" w:top="688" w:right="339" w:bottom="1440" w:gutter="0" w:footer="0" w:header="0"/>
          <w:type w:val="continuous"/>
        </w:sectPr>
      </w:pPr>
    </w:p>
    <w:bookmarkStart w:id="8" w:name="page9"/>
    <w:bookmarkEnd w:id="8"/>
    <w:p>
      <w:pPr>
        <w:ind w:left="660" w:right="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totaling $2.1 million and $6.4 million during the three months ended March 31, 2022 and 2021, respectively, and non-cash accelerated stock-based compensation expense associated with our former CFO and our retiring CEO and related payroll taxes totaling $1.7 million during the three months ended March 31, 2022.</w:t>
      </w:r>
    </w:p>
    <w:p>
      <w:pPr>
        <w:spacing w:after="0" w:line="1" w:lineRule="exact"/>
        <w:rPr>
          <w:rFonts w:ascii="Arial" w:cs="Arial" w:eastAsia="Arial" w:hAnsi="Arial"/>
          <w:sz w:val="12"/>
          <w:szCs w:val="12"/>
          <w:color w:val="auto"/>
        </w:rPr>
      </w:pPr>
    </w:p>
    <w:p>
      <w:pPr>
        <w:ind w:left="660" w:right="34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660" w:right="20" w:hanging="328"/>
        <w:spacing w:after="0" w:line="234" w:lineRule="auto"/>
        <w:tabs>
          <w:tab w:leader="none" w:pos="659"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ind w:left="660" w:hanging="328"/>
        <w:spacing w:after="0" w:line="234" w:lineRule="auto"/>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22% applied to Adjusted Net Income before income taxes for each of the three months ended March 31, 2022 and 2021.</w:t>
      </w:r>
    </w:p>
    <w:p>
      <w:pPr>
        <w:ind w:left="660" w:hanging="328"/>
        <w:spacing w:after="0"/>
        <w:tabs>
          <w:tab w:leader="none" w:pos="660" w:val="left"/>
        </w:tabs>
        <w:numPr>
          <w:ilvl w:val="0"/>
          <w:numId w:val="7"/>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gridSpan w:val="2"/>
          </w:tcPr>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36"/>
        </w:trPr>
        <w:tc>
          <w:tcPr>
            <w:tcW w:w="8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r>
      <w:tr>
        <w:trPr>
          <w:trHeight w:val="276"/>
        </w:trPr>
        <w:tc>
          <w:tcPr>
            <w:tcW w:w="8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w:t>
            </w: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24"/>
                <w:szCs w:val="24"/>
                <w:color w:val="auto"/>
              </w:rPr>
            </w:pPr>
          </w:p>
        </w:tc>
      </w:tr>
      <w:tr>
        <w:trPr>
          <w:trHeight w:val="230"/>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Shares Outstanding and Adjusted Diluted EPS</w:t>
            </w:r>
          </w:p>
        </w:tc>
        <w:tc>
          <w:tcPr>
            <w:tcW w:w="8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43"/>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Diluted weighted average shares of Class A and Class B common stock outstanding</w:t>
            </w:r>
          </w:p>
        </w:tc>
        <w:tc>
          <w:tcPr>
            <w:tcW w:w="320" w:type="dxa"/>
            <w:vAlign w:val="bottom"/>
            <w:shd w:val="clear" w:color="auto" w:fill="D5DCE4"/>
          </w:tcPr>
          <w:p>
            <w:pPr>
              <w:spacing w:after="0"/>
              <w:rPr>
                <w:sz w:val="21"/>
                <w:szCs w:val="21"/>
                <w:color w:val="auto"/>
              </w:rPr>
            </w:pPr>
          </w:p>
        </w:tc>
        <w:tc>
          <w:tcPr>
            <w:tcW w:w="11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207,497,102</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205,028,717</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53,756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81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tc>
        <w:tc>
          <w:tcPr>
            <w:tcW w:w="320" w:type="dxa"/>
            <w:vAlign w:val="bottom"/>
            <w:tcBorders>
              <w:bottom w:val="single" w:sz="8" w:color="auto"/>
            </w:tcBorders>
            <w:shd w:val="clear" w:color="auto" w:fill="D5DCE4"/>
          </w:tcPr>
          <w:p>
            <w:pPr>
              <w:spacing w:after="0"/>
              <w:rPr>
                <w:sz w:val="21"/>
                <w:szCs w:val="21"/>
                <w:color w:val="auto"/>
              </w:rPr>
            </w:pP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30,296,879</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31,214,407</w:t>
            </w:r>
          </w:p>
        </w:tc>
      </w:tr>
      <w:tr>
        <w:trPr>
          <w:trHeight w:val="237"/>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237,847,737</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236,243,124</w:t>
            </w:r>
          </w:p>
        </w:tc>
      </w:tr>
      <w:tr>
        <w:trPr>
          <w:trHeight w:val="20"/>
        </w:trPr>
        <w:tc>
          <w:tcPr>
            <w:tcW w:w="80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2"/>
        </w:trPr>
        <w:tc>
          <w:tcPr>
            <w:tcW w:w="8140" w:type="dxa"/>
            <w:vAlign w:val="bottom"/>
            <w:tcBorders>
              <w:bottom w:val="single" w:sz="8" w:color="D5DCE4"/>
            </w:tcBorders>
            <w:gridSpan w:val="2"/>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32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115,055</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101,578</w:t>
            </w:r>
          </w:p>
        </w:tc>
      </w:tr>
      <w:tr>
        <w:trPr>
          <w:trHeight w:val="20"/>
        </w:trPr>
        <w:tc>
          <w:tcPr>
            <w:tcW w:w="8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D5DCE4"/>
              <w:bottom w:val="single" w:sz="8" w:color="auto"/>
            </w:tcBorders>
          </w:tcPr>
          <w:p>
            <w:pPr>
              <w:spacing w:after="0" w:line="20" w:lineRule="exact"/>
              <w:rPr>
                <w:sz w:val="1"/>
                <w:szCs w:val="1"/>
                <w:color w:val="auto"/>
              </w:rPr>
            </w:pPr>
          </w:p>
        </w:tc>
        <w:tc>
          <w:tcPr>
            <w:tcW w:w="118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8140" w:type="dxa"/>
            <w:vAlign w:val="bottom"/>
            <w:gridSpan w:val="2"/>
          </w:tcPr>
          <w:p>
            <w:pPr>
              <w:ind w:left="20"/>
              <w:spacing w:after="0"/>
              <w:rPr>
                <w:sz w:val="20"/>
                <w:szCs w:val="20"/>
                <w:color w:val="auto"/>
              </w:rPr>
            </w:pPr>
            <w:r>
              <w:rPr>
                <w:rFonts w:ascii="Arial" w:cs="Arial" w:eastAsia="Arial" w:hAnsi="Arial"/>
                <w:sz w:val="16"/>
                <w:szCs w:val="16"/>
                <w:color w:val="auto"/>
              </w:rPr>
              <w:t>Adjusted Diluted EPS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0.48</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0.43</w:t>
            </w: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660" w:right="140" w:hanging="328"/>
        <w:spacing w:after="0"/>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Weighted average unvested restricted stock units and unsettled vested performance-based restricted stock units issued to certain retired executives that are entitled to non-forfeitable dividend equivalent rights and are considered participating securities prior to being issued and outstanding shares of common stock in accordance with the two-class method used for purposes of calculating earnings per share.</w:t>
      </w:r>
    </w:p>
    <w:p>
      <w:pPr>
        <w:spacing w:after="0" w:line="18" w:lineRule="exact"/>
        <w:rPr>
          <w:rFonts w:ascii="Arial" w:cs="Arial" w:eastAsia="Arial" w:hAnsi="Arial"/>
          <w:sz w:val="12"/>
          <w:szCs w:val="12"/>
          <w:color w:val="auto"/>
        </w:rPr>
      </w:pPr>
    </w:p>
    <w:p>
      <w:pPr>
        <w:ind w:left="660" w:right="60" w:hanging="328"/>
        <w:spacing w:after="0" w:line="247" w:lineRule="auto"/>
        <w:tabs>
          <w:tab w:leader="none" w:pos="659" w:val="left"/>
        </w:tabs>
        <w:numPr>
          <w:ilvl w:val="0"/>
          <w:numId w:val="8"/>
        </w:numPr>
        <w:rPr>
          <w:rFonts w:ascii="Arial" w:cs="Arial" w:eastAsia="Arial" w:hAnsi="Arial"/>
          <w:sz w:val="12"/>
          <w:szCs w:val="12"/>
          <w:color w:val="auto"/>
        </w:rPr>
      </w:pPr>
      <w:r>
        <w:rPr>
          <w:rFonts w:ascii="Arial" w:cs="Arial" w:eastAsia="Arial" w:hAnsi="Arial"/>
          <w:sz w:val="12"/>
          <w:szCs w:val="12"/>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59"/>
              <w:spacing w:after="0"/>
              <w:rPr>
                <w:sz w:val="20"/>
                <w:szCs w:val="20"/>
                <w:color w:val="auto"/>
              </w:rPr>
            </w:pPr>
            <w:r>
              <w:rPr>
                <w:rFonts w:ascii="Arial" w:cs="Arial" w:eastAsia="Arial" w:hAnsi="Arial"/>
                <w:sz w:val="16"/>
                <w:szCs w:val="16"/>
                <w:b w:val="1"/>
                <w:bCs w:val="1"/>
                <w:color w:val="auto"/>
              </w:rPr>
              <w:t>Three Months Ended</w:t>
            </w:r>
          </w:p>
        </w:tc>
      </w:tr>
      <w:tr>
        <w:trPr>
          <w:trHeight w:val="269"/>
        </w:trPr>
        <w:tc>
          <w:tcPr>
            <w:tcW w:w="7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March 31,</w:t>
            </w:r>
          </w:p>
        </w:tc>
        <w:tc>
          <w:tcPr>
            <w:tcW w:w="960" w:type="dxa"/>
            <w:vAlign w:val="bottom"/>
            <w:tcBorders>
              <w:bottom w:val="single" w:sz="8" w:color="auto"/>
            </w:tcBorders>
          </w:tcPr>
          <w:p>
            <w:pPr>
              <w:spacing w:after="0"/>
              <w:rPr>
                <w:sz w:val="23"/>
                <w:szCs w:val="23"/>
                <w:color w:val="auto"/>
              </w:rPr>
            </w:pPr>
          </w:p>
        </w:tc>
      </w:tr>
      <w:tr>
        <w:trPr>
          <w:trHeight w:val="237"/>
        </w:trPr>
        <w:tc>
          <w:tcPr>
            <w:tcW w:w="7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74"/>
        </w:trPr>
        <w:tc>
          <w:tcPr>
            <w:tcW w:w="79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39"/>
              <w:spacing w:after="0"/>
              <w:rPr>
                <w:sz w:val="20"/>
                <w:szCs w:val="20"/>
                <w:color w:val="auto"/>
              </w:rPr>
            </w:pPr>
            <w:r>
              <w:rPr>
                <w:rFonts w:ascii="Arial" w:cs="Arial" w:eastAsia="Arial" w:hAnsi="Arial"/>
                <w:sz w:val="16"/>
                <w:szCs w:val="16"/>
                <w:b w:val="1"/>
                <w:bCs w:val="1"/>
                <w:color w:val="auto"/>
              </w:rPr>
              <w:t>(in thousands)</w:t>
            </w:r>
          </w:p>
        </w:tc>
        <w:tc>
          <w:tcPr>
            <w:tcW w:w="960" w:type="dxa"/>
            <w:vAlign w:val="bottom"/>
          </w:tcPr>
          <w:p>
            <w:pPr>
              <w:spacing w:after="0"/>
              <w:rPr>
                <w:sz w:val="23"/>
                <w:szCs w:val="23"/>
                <w:color w:val="auto"/>
              </w:rPr>
            </w:pPr>
          </w:p>
        </w:tc>
      </w:tr>
      <w:tr>
        <w:trPr>
          <w:trHeight w:val="253"/>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199,884</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175,072</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 xml:space="preserve">Acquisition transaction costs </w:t>
            </w:r>
            <w:r>
              <w:rPr>
                <w:rFonts w:ascii="Arial" w:cs="Arial" w:eastAsia="Arial" w:hAnsi="Arial"/>
                <w:sz w:val="21"/>
                <w:szCs w:val="21"/>
                <w:color w:val="auto"/>
                <w:vertAlign w:val="superscript"/>
              </w:rPr>
              <w:t>(1)</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(1,761)</w:t>
            </w:r>
          </w:p>
        </w:tc>
      </w:tr>
      <w:tr>
        <w:trPr>
          <w:trHeight w:val="243"/>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340" w:type="dxa"/>
            <w:vAlign w:val="bottom"/>
            <w:shd w:val="clear" w:color="auto" w:fill="D5DCE4"/>
          </w:tcPr>
          <w:p>
            <w:pPr>
              <w:spacing w:after="0"/>
              <w:rPr>
                <w:sz w:val="21"/>
                <w:szCs w:val="21"/>
                <w:color w:val="auto"/>
              </w:rPr>
            </w:pP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(31,769)</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9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(29,603)</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(3,869)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(6,383)</w:t>
            </w:r>
          </w:p>
        </w:tc>
      </w:tr>
      <w:tr>
        <w:trPr>
          <w:trHeight w:val="243"/>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340" w:type="dxa"/>
            <w:vAlign w:val="bottom"/>
            <w:tcBorders>
              <w:bottom w:val="single" w:sz="8" w:color="auto"/>
            </w:tcBorders>
            <w:shd w:val="clear" w:color="auto" w:fill="D5DCE4"/>
          </w:tcPr>
          <w:p>
            <w:pPr>
              <w:spacing w:after="0"/>
              <w:rPr>
                <w:sz w:val="21"/>
                <w:szCs w:val="21"/>
                <w:color w:val="auto"/>
              </w:rPr>
            </w:pPr>
          </w:p>
        </w:tc>
        <w:tc>
          <w:tcPr>
            <w:tcW w:w="11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(732)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9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5,353</w:t>
            </w:r>
          </w:p>
        </w:tc>
      </w:tr>
      <w:tr>
        <w:trPr>
          <w:trHeight w:val="236"/>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163,532</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142,678</w:t>
            </w:r>
          </w:p>
        </w:tc>
      </w:tr>
      <w:tr>
        <w:trPr>
          <w:trHeight w:val="20"/>
        </w:trPr>
        <w:tc>
          <w:tcPr>
            <w:tcW w:w="7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right="140" w:hanging="328"/>
        <w:spacing w:after="0" w:line="234"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transaction and other costs related to the NFI Acquisition, which closed in June 2021. Acquisition-related costs primarily include legal, consulting and advisory fees and severance costs incurred that relate to the acquisition transaction.</w:t>
      </w:r>
    </w:p>
    <w:p>
      <w:pPr>
        <w:ind w:left="660" w:hanging="328"/>
        <w:spacing w:after="0" w:line="234"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the NFI Acquisition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660" w:right="40" w:hanging="328"/>
        <w:spacing w:after="0" w:line="234"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exercises of such options during the applicable period totaling $2.1 million and $6.4 million during the three months ended March 31, 2022 and 2021, respectively, and non-cash accelerated stock-based compensation expense associated with our former CFO and our retiring CEO and related payroll taxes totaling $1.7 million during the three months ended March 31, 2022.</w:t>
      </w:r>
    </w:p>
    <w:p>
      <w:pPr>
        <w:spacing w:after="0" w:line="1" w:lineRule="exact"/>
        <w:rPr>
          <w:rFonts w:ascii="Arial" w:cs="Arial" w:eastAsia="Arial" w:hAnsi="Arial"/>
          <w:sz w:val="12"/>
          <w:szCs w:val="12"/>
          <w:color w:val="auto"/>
        </w:rPr>
      </w:pPr>
    </w:p>
    <w:p>
      <w:pPr>
        <w:ind w:left="660" w:right="340" w:hanging="328"/>
        <w:spacing w:after="0" w:line="247" w:lineRule="auto"/>
        <w:tabs>
          <w:tab w:leader="none" w:pos="659" w:val="left"/>
        </w:tabs>
        <w:numPr>
          <w:ilvl w:val="0"/>
          <w:numId w:val="9"/>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jc w:val="center"/>
              <w:ind w:right="159"/>
              <w:spacing w:after="0"/>
              <w:rPr>
                <w:sz w:val="20"/>
                <w:szCs w:val="20"/>
                <w:color w:val="auto"/>
              </w:rPr>
            </w:pPr>
            <w:r>
              <w:rPr>
                <w:rFonts w:ascii="Arial" w:cs="Arial" w:eastAsia="Arial" w:hAnsi="Arial"/>
                <w:sz w:val="16"/>
                <w:szCs w:val="16"/>
                <w:b w:val="1"/>
                <w:bCs w:val="1"/>
                <w:color w:val="auto"/>
              </w:rPr>
              <w:t>Trailing Twelve Months Ended</w:t>
            </w:r>
          </w:p>
        </w:tc>
      </w:tr>
      <w:tr>
        <w:trPr>
          <w:trHeight w:val="228"/>
        </w:trPr>
        <w:tc>
          <w:tcPr>
            <w:tcW w:w="816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Flows from Operating Activities to Free Cash Flow</w:t>
            </w:r>
          </w:p>
        </w:tc>
        <w:tc>
          <w:tcPr>
            <w:tcW w:w="240" w:type="dxa"/>
            <w:vAlign w:val="bottom"/>
          </w:tcPr>
          <w:p>
            <w:pPr>
              <w:spacing w:after="0"/>
              <w:rPr>
                <w:sz w:val="19"/>
                <w:szCs w:val="19"/>
                <w:color w:val="auto"/>
              </w:rPr>
            </w:pPr>
          </w:p>
        </w:tc>
        <w:tc>
          <w:tcPr>
            <w:tcW w:w="2840" w:type="dxa"/>
            <w:vAlign w:val="bottom"/>
          </w:tcPr>
          <w:p>
            <w:pPr>
              <w:jc w:val="center"/>
              <w:ind w:right="159"/>
              <w:spacing w:after="0"/>
              <w:rPr>
                <w:sz w:val="20"/>
                <w:szCs w:val="20"/>
                <w:color w:val="auto"/>
              </w:rPr>
            </w:pPr>
            <w:r>
              <w:rPr>
                <w:rFonts w:ascii="Arial" w:cs="Arial" w:eastAsia="Arial" w:hAnsi="Arial"/>
                <w:sz w:val="16"/>
                <w:szCs w:val="16"/>
                <w:b w:val="1"/>
                <w:bCs w:val="1"/>
                <w:color w:val="auto"/>
              </w:rPr>
              <w:t>March 31, 2022</w:t>
            </w:r>
          </w:p>
        </w:tc>
      </w:tr>
      <w:tr>
        <w:trPr>
          <w:trHeight w:val="233"/>
        </w:trPr>
        <w:tc>
          <w:tcPr>
            <w:tcW w:w="8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840" w:type="dxa"/>
            <w:vAlign w:val="bottom"/>
            <w:tcBorders>
              <w:top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(in thousands)</w:t>
            </w:r>
          </w:p>
        </w:tc>
      </w:tr>
      <w:tr>
        <w:trPr>
          <w:trHeight w:val="253"/>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39"/>
              <w:spacing w:after="0"/>
              <w:rPr>
                <w:sz w:val="20"/>
                <w:szCs w:val="20"/>
                <w:color w:val="auto"/>
              </w:rPr>
            </w:pPr>
            <w:r>
              <w:rPr>
                <w:rFonts w:ascii="Arial" w:cs="Arial" w:eastAsia="Arial" w:hAnsi="Arial"/>
                <w:sz w:val="16"/>
                <w:szCs w:val="16"/>
                <w:color w:val="auto"/>
              </w:rPr>
              <w:t>$</w:t>
            </w:r>
          </w:p>
        </w:tc>
        <w:tc>
          <w:tcPr>
            <w:tcW w:w="2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567,692</w:t>
            </w:r>
          </w:p>
        </w:tc>
      </w:tr>
      <w:tr>
        <w:trPr>
          <w:trHeight w:val="23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2840" w:type="dxa"/>
            <w:vAlign w:val="bottom"/>
          </w:tcPr>
          <w:p>
            <w:pPr>
              <w:jc w:val="right"/>
              <w:spacing w:after="0"/>
              <w:rPr>
                <w:sz w:val="20"/>
                <w:szCs w:val="20"/>
                <w:color w:val="auto"/>
              </w:rPr>
            </w:pPr>
            <w:r>
              <w:rPr>
                <w:rFonts w:ascii="Arial" w:cs="Arial" w:eastAsia="Arial" w:hAnsi="Arial"/>
                <w:sz w:val="16"/>
                <w:szCs w:val="16"/>
                <w:color w:val="auto"/>
              </w:rPr>
              <w:t>(35,183)</w:t>
            </w:r>
          </w:p>
        </w:tc>
      </w:tr>
      <w:tr>
        <w:trPr>
          <w:trHeight w:val="246"/>
        </w:trPr>
        <w:tc>
          <w:tcPr>
            <w:tcW w:w="816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28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(21,580)</w:t>
            </w:r>
          </w:p>
        </w:tc>
      </w:tr>
      <w:tr>
        <w:trPr>
          <w:trHeight w:val="243"/>
        </w:trPr>
        <w:tc>
          <w:tcPr>
            <w:tcW w:w="816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510,929</w:t>
            </w:r>
          </w:p>
        </w:tc>
      </w:tr>
      <w:tr>
        <w:trPr>
          <w:trHeight w:val="20"/>
        </w:trPr>
        <w:tc>
          <w:tcPr>
            <w:tcW w:w="8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70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Dollars in Thousands, Except per Share Data</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Three Months Ended</w:t>
            </w:r>
          </w:p>
        </w:tc>
      </w:tr>
      <w:tr>
        <w:trPr>
          <w:trHeight w:val="256"/>
        </w:trPr>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gridSpan w:val="3"/>
          </w:tcPr>
          <w:p>
            <w:pPr>
              <w:jc w:val="center"/>
              <w:ind w:left="859"/>
              <w:spacing w:after="0"/>
              <w:rPr>
                <w:sz w:val="20"/>
                <w:szCs w:val="20"/>
                <w:color w:val="auto"/>
              </w:rPr>
            </w:pPr>
            <w:r>
              <w:rPr>
                <w:rFonts w:ascii="Arial" w:cs="Arial" w:eastAsia="Arial" w:hAnsi="Arial"/>
                <w:sz w:val="16"/>
                <w:szCs w:val="16"/>
                <w:b w:val="1"/>
                <w:bCs w:val="1"/>
                <w:color w:val="auto"/>
              </w:rPr>
              <w:t>March 31,</w:t>
            </w:r>
          </w:p>
        </w:tc>
        <w:tc>
          <w:tcPr>
            <w:tcW w:w="1080" w:type="dxa"/>
            <w:vAlign w:val="bottom"/>
            <w:tcBorders>
              <w:bottom w:val="single" w:sz="8" w:color="auto"/>
            </w:tcBorders>
          </w:tcPr>
          <w:p>
            <w:pPr>
              <w:spacing w:after="0"/>
              <w:rPr>
                <w:sz w:val="22"/>
                <w:szCs w:val="22"/>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8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38"/>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(in thousands, except share and per</w:t>
            </w:r>
          </w:p>
        </w:tc>
      </w:tr>
      <w:tr>
        <w:trPr>
          <w:trHeight w:val="224"/>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6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share amounts)</w:t>
            </w:r>
          </w:p>
        </w:tc>
      </w:tr>
      <w:tr>
        <w:trPr>
          <w:trHeight w:val="233"/>
        </w:trPr>
        <w:tc>
          <w:tcPr>
            <w:tcW w:w="20" w:type="dxa"/>
            <w:vAlign w:val="bottom"/>
            <w:tcBorders>
              <w:bottom w:val="single" w:sz="8" w:color="D5DCE4"/>
            </w:tcBorders>
            <w:shd w:val="clear" w:color="auto" w:fill="D5DCE4"/>
          </w:tcPr>
          <w:p>
            <w:pPr>
              <w:spacing w:after="0"/>
              <w:rPr>
                <w:sz w:val="20"/>
                <w:szCs w:val="20"/>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7300" w:type="dxa"/>
            <w:vAlign w:val="bottom"/>
            <w:tcBorders>
              <w:bottom w:val="single" w:sz="8" w:color="D5DCE4"/>
            </w:tcBorders>
            <w:gridSpan w:val="3"/>
            <w:shd w:val="clear" w:color="auto" w:fill="D5DCE4"/>
          </w:tcPr>
          <w:p>
            <w:pPr>
              <w:spacing w:after="0"/>
              <w:rPr>
                <w:sz w:val="20"/>
                <w:szCs w:val="20"/>
                <w:color w:val="auto"/>
              </w:rPr>
            </w:pPr>
          </w:p>
        </w:tc>
        <w:tc>
          <w:tcPr>
            <w:tcW w:w="140" w:type="dxa"/>
            <w:vAlign w:val="bottom"/>
            <w:tcBorders>
              <w:bottom w:val="single" w:sz="8" w:color="D5DCE4"/>
            </w:tcBorders>
            <w:shd w:val="clear" w:color="auto" w:fill="D5DCE4"/>
          </w:tcPr>
          <w:p>
            <w:pPr>
              <w:spacing w:after="0"/>
              <w:rPr>
                <w:sz w:val="20"/>
                <w:szCs w:val="20"/>
                <w:color w:val="auto"/>
              </w:rPr>
            </w:pPr>
          </w:p>
        </w:tc>
        <w:tc>
          <w:tcPr>
            <w:tcW w:w="1360" w:type="dxa"/>
            <w:vAlign w:val="bottom"/>
            <w:tcBorders>
              <w:bottom w:val="single" w:sz="8" w:color="D5DCE4"/>
            </w:tcBorders>
            <w:shd w:val="clear" w:color="auto" w:fill="D5DCE4"/>
          </w:tcPr>
          <w:p>
            <w:pPr>
              <w:spacing w:after="0"/>
              <w:rPr>
                <w:sz w:val="20"/>
                <w:szCs w:val="20"/>
                <w:color w:val="auto"/>
              </w:rPr>
            </w:pPr>
          </w:p>
        </w:tc>
        <w:tc>
          <w:tcPr>
            <w:tcW w:w="80" w:type="dxa"/>
            <w:vAlign w:val="bottom"/>
            <w:tcBorders>
              <w:bottom w:val="single" w:sz="8" w:color="D5DCE4"/>
            </w:tcBorders>
            <w:shd w:val="clear" w:color="auto" w:fill="D5DCE4"/>
          </w:tcPr>
          <w:p>
            <w:pPr>
              <w:spacing w:after="0"/>
              <w:rPr>
                <w:sz w:val="20"/>
                <w:szCs w:val="20"/>
                <w:color w:val="auto"/>
              </w:rPr>
            </w:pPr>
          </w:p>
        </w:tc>
        <w:tc>
          <w:tcPr>
            <w:tcW w:w="440" w:type="dxa"/>
            <w:vAlign w:val="bottom"/>
            <w:tcBorders>
              <w:bottom w:val="single" w:sz="8" w:color="D5DCE4"/>
            </w:tcBorders>
            <w:shd w:val="clear" w:color="auto" w:fill="D5DCE4"/>
          </w:tcPr>
          <w:p>
            <w:pPr>
              <w:spacing w:after="0"/>
              <w:rPr>
                <w:sz w:val="20"/>
                <w:szCs w:val="20"/>
                <w:color w:val="auto"/>
              </w:rPr>
            </w:pPr>
          </w:p>
        </w:tc>
        <w:tc>
          <w:tcPr>
            <w:tcW w:w="1080" w:type="dxa"/>
            <w:vAlign w:val="bottom"/>
            <w:tcBorders>
              <w:bottom w:val="single" w:sz="8" w:color="D5DCE4"/>
            </w:tcBorders>
            <w:shd w:val="clear" w:color="auto" w:fill="D5DCE4"/>
          </w:tcPr>
          <w:p>
            <w:pPr>
              <w:spacing w:after="0"/>
              <w:rPr>
                <w:sz w:val="20"/>
                <w:szCs w:val="20"/>
                <w:color w:val="auto"/>
              </w:rPr>
            </w:pPr>
          </w:p>
        </w:tc>
      </w:tr>
      <w:tr>
        <w:trPr>
          <w:trHeight w:val="233"/>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6"/>
                <w:szCs w:val="16"/>
                <w:color w:val="auto"/>
              </w:rPr>
              <w:t>Net income attributable to Tradeweb Markets Inc.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82,965</w:t>
            </w:r>
          </w:p>
        </w:tc>
        <w:tc>
          <w:tcPr>
            <w:tcW w:w="80" w:type="dxa"/>
            <w:vAlign w:val="bottom"/>
          </w:tcPr>
          <w:p>
            <w:pPr>
              <w:spacing w:after="0"/>
              <w:rPr>
                <w:sz w:val="20"/>
                <w:szCs w:val="20"/>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67,859</w:t>
            </w:r>
          </w:p>
        </w:tc>
      </w:tr>
      <w:tr>
        <w:trPr>
          <w:trHeight w:val="253"/>
        </w:trPr>
        <w:tc>
          <w:tcPr>
            <w:tcW w:w="20" w:type="dxa"/>
            <w:vAlign w:val="bottom"/>
            <w:shd w:val="clear" w:color="auto" w:fill="D5DCE4"/>
          </w:tcPr>
          <w:p>
            <w:pPr>
              <w:spacing w:after="0"/>
              <w:rPr>
                <w:sz w:val="21"/>
                <w:szCs w:val="21"/>
                <w:color w:val="auto"/>
              </w:rPr>
            </w:pPr>
          </w:p>
        </w:tc>
        <w:tc>
          <w:tcPr>
            <w:tcW w:w="81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 xml:space="preserve">Less: Distributed and undistributed earnings allocated to unvested RSUs and unsettled vested PRSUs </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D5DCE4"/>
          </w:tcPr>
          <w:p>
            <w:pPr>
              <w:spacing w:after="0"/>
              <w:rPr>
                <w:sz w:val="21"/>
                <w:szCs w:val="21"/>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w:t>
            </w:r>
          </w:p>
        </w:tc>
      </w:tr>
      <w:tr>
        <w:trPr>
          <w:trHeight w:val="236"/>
        </w:trPr>
        <w:tc>
          <w:tcPr>
            <w:tcW w:w="20" w:type="dxa"/>
            <w:vAlign w:val="bottom"/>
          </w:tcPr>
          <w:p>
            <w:pPr>
              <w:spacing w:after="0"/>
              <w:rPr>
                <w:sz w:val="20"/>
                <w:szCs w:val="20"/>
                <w:color w:val="auto"/>
              </w:rPr>
            </w:pPr>
          </w:p>
        </w:tc>
        <w:tc>
          <w:tcPr>
            <w:tcW w:w="8120" w:type="dxa"/>
            <w:vAlign w:val="bottom"/>
            <w:gridSpan w:val="4"/>
          </w:tcPr>
          <w:p>
            <w:pPr>
              <w:spacing w:after="0"/>
              <w:rPr>
                <w:sz w:val="20"/>
                <w:szCs w:val="20"/>
                <w:color w:val="auto"/>
              </w:rPr>
            </w:pPr>
            <w:r>
              <w:rPr>
                <w:rFonts w:ascii="Arial" w:cs="Arial" w:eastAsia="Arial" w:hAnsi="Arial"/>
                <w:sz w:val="16"/>
                <w:szCs w:val="16"/>
                <w:color w:val="auto"/>
              </w:rPr>
              <w:t>Net income attributable to outstanding shares of Class A and Class B common stock -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82,943</w:t>
            </w:r>
          </w:p>
        </w:tc>
        <w:tc>
          <w:tcPr>
            <w:tcW w:w="80" w:type="dxa"/>
            <w:vAlign w:val="bottom"/>
          </w:tcPr>
          <w:p>
            <w:pPr>
              <w:spacing w:after="0"/>
              <w:rPr>
                <w:sz w:val="20"/>
                <w:szCs w:val="20"/>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67,859</w:t>
            </w: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706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70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140" w:type="dxa"/>
            <w:vAlign w:val="bottom"/>
            <w:shd w:val="clear" w:color="auto" w:fill="D5DCE4"/>
          </w:tcPr>
          <w:p>
            <w:pPr>
              <w:spacing w:after="0"/>
              <w:rPr>
                <w:sz w:val="19"/>
                <w:szCs w:val="19"/>
                <w:color w:val="auto"/>
              </w:rPr>
            </w:pPr>
          </w:p>
        </w:tc>
        <w:tc>
          <w:tcPr>
            <w:tcW w:w="136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080" w:type="dxa"/>
            <w:vAlign w:val="bottom"/>
            <w:shd w:val="clear" w:color="auto" w:fill="D5DCE4"/>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8120" w:type="dxa"/>
            <w:vAlign w:val="bottom"/>
            <w:gridSpan w:val="4"/>
          </w:tcPr>
          <w:p>
            <w:pPr>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0" w:type="dxa"/>
            <w:vAlign w:val="bottom"/>
            <w:shd w:val="clear" w:color="auto" w:fill="D5DCE4"/>
          </w:tcPr>
          <w:p>
            <w:pPr>
              <w:spacing w:after="0"/>
              <w:rPr>
                <w:sz w:val="21"/>
                <w:szCs w:val="21"/>
                <w:color w:val="auto"/>
              </w:rPr>
            </w:pPr>
          </w:p>
        </w:tc>
        <w:tc>
          <w:tcPr>
            <w:tcW w:w="8120" w:type="dxa"/>
            <w:vAlign w:val="bottom"/>
            <w:gridSpan w:val="4"/>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Basic</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204,061,347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199,064,607</w:t>
            </w:r>
          </w:p>
        </w:tc>
      </w:tr>
      <w:tr>
        <w:trPr>
          <w:trHeight w:val="233"/>
        </w:trPr>
        <w:tc>
          <w:tcPr>
            <w:tcW w:w="20" w:type="dxa"/>
            <w:vAlign w:val="bottom"/>
          </w:tcPr>
          <w:p>
            <w:pPr>
              <w:spacing w:after="0"/>
              <w:rPr>
                <w:sz w:val="20"/>
                <w:szCs w:val="20"/>
                <w:color w:val="auto"/>
              </w:rPr>
            </w:pPr>
          </w:p>
        </w:tc>
        <w:tc>
          <w:tcPr>
            <w:tcW w:w="8120" w:type="dxa"/>
            <w:vAlign w:val="bottom"/>
            <w:gridSpan w:val="4"/>
          </w:tcPr>
          <w:p>
            <w:pPr>
              <w:ind w:left="120"/>
              <w:spacing w:after="0"/>
              <w:rPr>
                <w:sz w:val="20"/>
                <w:szCs w:val="20"/>
                <w:color w:val="auto"/>
              </w:rPr>
            </w:pPr>
            <w:r>
              <w:rPr>
                <w:rFonts w:ascii="Arial" w:cs="Arial" w:eastAsia="Arial" w:hAnsi="Arial"/>
                <w:sz w:val="16"/>
                <w:szCs w:val="16"/>
                <w:color w:val="auto"/>
              </w:rPr>
              <w:t>Dilutive effect of PRSUs</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770,765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1,832,308</w:t>
            </w:r>
          </w:p>
        </w:tc>
      </w:tr>
      <w:tr>
        <w:trPr>
          <w:trHeight w:val="253"/>
        </w:trPr>
        <w:tc>
          <w:tcPr>
            <w:tcW w:w="20" w:type="dxa"/>
            <w:vAlign w:val="bottom"/>
            <w:shd w:val="clear" w:color="auto" w:fill="D5DCE4"/>
          </w:tcPr>
          <w:p>
            <w:pPr>
              <w:spacing w:after="0"/>
              <w:rPr>
                <w:sz w:val="21"/>
                <w:szCs w:val="21"/>
                <w:color w:val="auto"/>
              </w:rPr>
            </w:pPr>
          </w:p>
        </w:tc>
        <w:tc>
          <w:tcPr>
            <w:tcW w:w="8120" w:type="dxa"/>
            <w:vAlign w:val="bottom"/>
            <w:gridSpan w:val="4"/>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140" w:type="dxa"/>
            <w:vAlign w:val="bottom"/>
            <w:shd w:val="clear" w:color="auto" w:fill="D5DCE4"/>
          </w:tcPr>
          <w:p>
            <w:pPr>
              <w:spacing w:after="0"/>
              <w:rPr>
                <w:sz w:val="21"/>
                <w:szCs w:val="21"/>
                <w:color w:val="auto"/>
              </w:rPr>
            </w:pPr>
          </w:p>
        </w:tc>
        <w:tc>
          <w:tcPr>
            <w:tcW w:w="13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2,322,027</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3,851,594</w:t>
            </w:r>
          </w:p>
        </w:tc>
      </w:tr>
      <w:tr>
        <w:trPr>
          <w:trHeight w:val="237"/>
        </w:trPr>
        <w:tc>
          <w:tcPr>
            <w:tcW w:w="20" w:type="dxa"/>
            <w:vAlign w:val="bottom"/>
            <w:tcBorders>
              <w:bottom w:val="single" w:sz="8" w:color="D5DCE4"/>
            </w:tcBorders>
          </w:tcPr>
          <w:p>
            <w:pPr>
              <w:spacing w:after="0"/>
              <w:rPr>
                <w:sz w:val="20"/>
                <w:szCs w:val="20"/>
                <w:color w:val="auto"/>
              </w:rPr>
            </w:pPr>
          </w:p>
        </w:tc>
        <w:tc>
          <w:tcPr>
            <w:tcW w:w="8120" w:type="dxa"/>
            <w:vAlign w:val="bottom"/>
            <w:tcBorders>
              <w:bottom w:val="single" w:sz="8" w:color="D5DCE4"/>
            </w:tcBorders>
            <w:gridSpan w:val="4"/>
          </w:tcPr>
          <w:p>
            <w:pPr>
              <w:ind w:left="120"/>
              <w:spacing w:after="0"/>
              <w:rPr>
                <w:sz w:val="20"/>
                <w:szCs w:val="20"/>
                <w:color w:val="auto"/>
              </w:rPr>
            </w:pPr>
            <w:r>
              <w:rPr>
                <w:rFonts w:ascii="Arial" w:cs="Arial" w:eastAsia="Arial" w:hAnsi="Arial"/>
                <w:sz w:val="16"/>
                <w:szCs w:val="16"/>
                <w:color w:val="auto"/>
              </w:rPr>
              <w:t>Dilutive effect of RSUs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342,963</w:t>
            </w:r>
          </w:p>
        </w:tc>
        <w:tc>
          <w:tcPr>
            <w:tcW w:w="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280,208</w:t>
            </w: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812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Diluted</w:t>
            </w:r>
          </w:p>
        </w:tc>
        <w:tc>
          <w:tcPr>
            <w:tcW w:w="140" w:type="dxa"/>
            <w:vAlign w:val="bottom"/>
            <w:tcBorders>
              <w:bottom w:val="single" w:sz="8" w:color="auto"/>
            </w:tcBorders>
            <w:shd w:val="clear" w:color="auto" w:fill="D5DCE4"/>
          </w:tcPr>
          <w:p>
            <w:pPr>
              <w:spacing w:after="0"/>
              <w:rPr>
                <w:sz w:val="22"/>
                <w:szCs w:val="22"/>
                <w:color w:val="auto"/>
              </w:rPr>
            </w:pP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207,497,102</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spacing w:after="0"/>
              <w:rPr>
                <w:sz w:val="22"/>
                <w:szCs w:val="22"/>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205,028,717</w:t>
            </w: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7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68"/>
        </w:trPr>
        <w:tc>
          <w:tcPr>
            <w:tcW w:w="20" w:type="dxa"/>
            <w:vAlign w:val="bottom"/>
            <w:tcBorders>
              <w:bottom w:val="single" w:sz="8" w:color="D5DCE4"/>
            </w:tcBorders>
            <w:shd w:val="clear" w:color="auto" w:fill="D5DCE4"/>
          </w:tcPr>
          <w:p>
            <w:pPr>
              <w:spacing w:after="0"/>
              <w:rPr>
                <w:sz w:val="22"/>
                <w:szCs w:val="22"/>
                <w:color w:val="auto"/>
              </w:rPr>
            </w:pPr>
          </w:p>
        </w:tc>
        <w:tc>
          <w:tcPr>
            <w:tcW w:w="8120" w:type="dxa"/>
            <w:vAlign w:val="bottom"/>
            <w:tcBorders>
              <w:bottom w:val="single" w:sz="8" w:color="D5DCE4"/>
            </w:tcBorders>
            <w:gridSpan w:val="4"/>
            <w:shd w:val="clear" w:color="auto" w:fill="D5DCE4"/>
          </w:tcPr>
          <w:p>
            <w:pPr>
              <w:spacing w:after="0"/>
              <w:rPr>
                <w:sz w:val="20"/>
                <w:szCs w:val="20"/>
                <w:color w:val="auto"/>
              </w:rPr>
            </w:pPr>
            <w:r>
              <w:rPr>
                <w:rFonts w:ascii="Arial" w:cs="Arial" w:eastAsia="Arial" w:hAnsi="Arial"/>
                <w:sz w:val="16"/>
                <w:szCs w:val="16"/>
                <w:color w:val="auto"/>
              </w:rPr>
              <w:t>Earnings per share - Basic</w:t>
            </w:r>
          </w:p>
        </w:tc>
        <w:tc>
          <w:tcPr>
            <w:tcW w:w="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0.41</w:t>
            </w:r>
          </w:p>
        </w:tc>
        <w:tc>
          <w:tcPr>
            <w:tcW w:w="80" w:type="dxa"/>
            <w:vAlign w:val="bottom"/>
            <w:tcBorders>
              <w:bottom w:val="single" w:sz="8" w:color="D5DCE4"/>
            </w:tcBorders>
            <w:shd w:val="clear" w:color="auto" w:fill="D5DCE4"/>
          </w:tcPr>
          <w:p>
            <w:pPr>
              <w:spacing w:after="0"/>
              <w:rPr>
                <w:sz w:val="22"/>
                <w:szCs w:val="22"/>
                <w:color w:val="auto"/>
              </w:rPr>
            </w:pPr>
          </w:p>
        </w:tc>
        <w:tc>
          <w:tcPr>
            <w:tcW w:w="440" w:type="dxa"/>
            <w:vAlign w:val="bottom"/>
            <w:tcBorders>
              <w:bottom w:val="single" w:sz="8" w:color="auto"/>
            </w:tcBorders>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0.34</w:t>
            </w: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7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bottom w:val="single" w:sz="8" w:color="auto"/>
            </w:tcBorders>
          </w:tcPr>
          <w:p>
            <w:pPr>
              <w:spacing w:after="0" w:line="20" w:lineRule="exact"/>
              <w:rPr>
                <w:sz w:val="1"/>
                <w:szCs w:val="1"/>
                <w:color w:val="auto"/>
              </w:rPr>
            </w:pPr>
          </w:p>
        </w:tc>
        <w:tc>
          <w:tcPr>
            <w:tcW w:w="13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D5DCE4"/>
              <w:bottom w:val="single" w:sz="8" w:color="auto"/>
            </w:tcBorders>
          </w:tcPr>
          <w:p>
            <w:pPr>
              <w:spacing w:after="0" w:line="20" w:lineRule="exact"/>
              <w:rPr>
                <w:sz w:val="1"/>
                <w:szCs w:val="1"/>
                <w:color w:val="auto"/>
              </w:rPr>
            </w:pPr>
          </w:p>
        </w:tc>
        <w:tc>
          <w:tcPr>
            <w:tcW w:w="10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8120" w:type="dxa"/>
            <w:vAlign w:val="bottom"/>
            <w:gridSpan w:val="4"/>
          </w:tcPr>
          <w:p>
            <w:pPr>
              <w:spacing w:after="0"/>
              <w:rPr>
                <w:sz w:val="20"/>
                <w:szCs w:val="20"/>
                <w:color w:val="auto"/>
              </w:rPr>
            </w:pPr>
            <w:r>
              <w:rPr>
                <w:rFonts w:ascii="Arial" w:cs="Arial" w:eastAsia="Arial" w:hAnsi="Arial"/>
                <w:sz w:val="16"/>
                <w:szCs w:val="16"/>
                <w:color w:val="auto"/>
              </w:rPr>
              <w:t>Earnings per share -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80" w:type="dxa"/>
            <w:vAlign w:val="bottom"/>
          </w:tcPr>
          <w:p>
            <w:pPr>
              <w:spacing w:after="0"/>
              <w:rPr>
                <w:sz w:val="18"/>
                <w:szCs w:val="18"/>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0.33</w:t>
            </w: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60" w:right="100" w:hanging="328"/>
        <w:spacing w:after="0" w:line="247" w:lineRule="auto"/>
        <w:tabs>
          <w:tab w:leader="none" w:pos="651" w:val="left"/>
        </w:tabs>
        <w:numPr>
          <w:ilvl w:val="0"/>
          <w:numId w:val="10"/>
        </w:numPr>
        <w:rPr>
          <w:rFonts w:ascii="Arial" w:cs="Arial" w:eastAsia="Arial" w:hAnsi="Arial"/>
          <w:sz w:val="12"/>
          <w:szCs w:val="12"/>
          <w:color w:val="auto"/>
        </w:rPr>
      </w:pPr>
      <w:r>
        <w:rPr>
          <w:rFonts w:ascii="Arial" w:cs="Arial" w:eastAsia="Arial" w:hAnsi="Arial"/>
          <w:sz w:val="12"/>
          <w:szCs w:val="12"/>
          <w:color w:val="auto"/>
        </w:rPr>
        <w:t>During the three months ended March 31, 2022 and 2021, there was a total of 53,756 and none, respectively, weighted average unvested RSUs and unsettled vested PRSUs that were considered a participating security for purposes of calculating earnings per share in accordance with the two-class method.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2"/>
        </w:trPr>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4"/>
        </w:trPr>
        <w:tc>
          <w:tcPr>
            <w:tcW w:w="2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6"/>
              </w:rPr>
              <w:t>2022</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2021</w:t>
            </w:r>
          </w:p>
        </w:tc>
        <w:tc>
          <w:tcPr>
            <w:tcW w:w="8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9"/>
                <w:szCs w:val="19"/>
                <w:color w:val="auto"/>
              </w:rPr>
            </w:pPr>
          </w:p>
        </w:tc>
        <w:tc>
          <w:tcPr>
            <w:tcW w:w="214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 Change</w:t>
            </w:r>
          </w:p>
        </w:tc>
      </w:tr>
      <w:tr>
        <w:trPr>
          <w:trHeight w:val="236"/>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rPr>
              <w:t>Fixed</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r>
      <w:tr>
        <w:trPr>
          <w:trHeight w:val="274"/>
        </w:trPr>
        <w:tc>
          <w:tcPr>
            <w:tcW w:w="23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0" w:type="dxa"/>
            <w:vAlign w:val="bottom"/>
            <w:gridSpan w:val="5"/>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103,389</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56,950</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89,651</w:t>
            </w:r>
          </w:p>
        </w:tc>
        <w:tc>
          <w:tcPr>
            <w:tcW w:w="40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53,278</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13,738</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3,672</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15.3 %</w:t>
            </w:r>
          </w:p>
        </w:tc>
        <w:tc>
          <w:tcPr>
            <w:tcW w:w="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6.9 %</w:t>
            </w: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79,648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6,670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67,998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6,370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11,650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17.1 %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4.7 %</w:t>
            </w: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24,151</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2,384</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15,980</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2,881</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8,171</w:t>
            </w:r>
          </w:p>
        </w:tc>
        <w:tc>
          <w:tcPr>
            <w:tcW w:w="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(497)</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51.1 %</w:t>
            </w:r>
          </w:p>
        </w:tc>
        <w:tc>
          <w:tcPr>
            <w:tcW w:w="8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(17.3)%</w:t>
            </w:r>
          </w:p>
        </w:tc>
      </w:tr>
      <w:tr>
        <w:trPr>
          <w:trHeight w:val="233"/>
        </w:trPr>
        <w:tc>
          <w:tcPr>
            <w:tcW w:w="254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7,274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4,250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6,713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8.4 %</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3.5 %</w:t>
            </w:r>
          </w:p>
        </w:tc>
      </w:tr>
      <w:tr>
        <w:trPr>
          <w:trHeight w:val="25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21,366</w:t>
            </w:r>
          </w:p>
        </w:tc>
        <w:tc>
          <w:tcPr>
            <w:tcW w:w="12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19,972</w:t>
            </w:r>
          </w:p>
        </w:tc>
        <w:tc>
          <w:tcPr>
            <w:tcW w:w="18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80" w:type="dxa"/>
            <w:vAlign w:val="bottom"/>
            <w:gridSpan w:val="2"/>
            <w:shd w:val="clear" w:color="auto" w:fill="D5DC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D5DCE4"/>
          </w:tcPr>
          <w:p>
            <w:pPr>
              <w:spacing w:after="0"/>
              <w:rPr>
                <w:sz w:val="21"/>
                <w:szCs w:val="21"/>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1,394</w:t>
            </w:r>
          </w:p>
        </w:tc>
        <w:tc>
          <w:tcPr>
            <w:tcW w:w="180" w:type="dxa"/>
            <w:vAlign w:val="bottom"/>
            <w:shd w:val="clear" w:color="auto" w:fill="D5DCE4"/>
          </w:tcPr>
          <w:p>
            <w:pPr>
              <w:spacing w:after="0"/>
              <w:rPr>
                <w:sz w:val="21"/>
                <w:szCs w:val="21"/>
                <w:color w:val="auto"/>
              </w:rPr>
            </w:pPr>
          </w:p>
        </w:tc>
        <w:tc>
          <w:tcPr>
            <w:tcW w:w="1140" w:type="dxa"/>
            <w:vAlign w:val="bottom"/>
            <w:gridSpan w:val="2"/>
            <w:shd w:val="clear" w:color="auto" w:fill="D5DCE4"/>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7.0 %</w:t>
            </w:r>
          </w:p>
        </w:tc>
      </w:tr>
      <w:tr>
        <w:trPr>
          <w:trHeight w:val="236"/>
        </w:trPr>
        <w:tc>
          <w:tcPr>
            <w:tcW w:w="254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5,404</w:t>
            </w:r>
          </w:p>
        </w:tc>
        <w:tc>
          <w:tcPr>
            <w:tcW w:w="12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6,451</w:t>
            </w:r>
          </w:p>
        </w:tc>
        <w:tc>
          <w:tcPr>
            <w:tcW w:w="18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(1,047)</w:t>
            </w:r>
          </w:p>
        </w:tc>
        <w:tc>
          <w:tcPr>
            <w:tcW w:w="180" w:type="dxa"/>
            <w:vAlign w:val="bottom"/>
            <w:tcBorders>
              <w:bottom w:val="single" w:sz="8" w:color="D5DCE4"/>
            </w:tcBorders>
          </w:tcPr>
          <w:p>
            <w:pPr>
              <w:spacing w:after="0"/>
              <w:rPr>
                <w:sz w:val="20"/>
                <w:szCs w:val="20"/>
                <w:color w:val="auto"/>
              </w:rPr>
            </w:pPr>
          </w:p>
        </w:tc>
        <w:tc>
          <w:tcPr>
            <w:tcW w:w="1140" w:type="dxa"/>
            <w:vAlign w:val="bottom"/>
            <w:tcBorders>
              <w:bottom w:val="single" w:sz="8" w:color="D5DCE4"/>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(16.2)%</w:t>
            </w:r>
          </w:p>
        </w:tc>
      </w:tr>
      <w:tr>
        <w:trPr>
          <w:trHeight w:val="263"/>
        </w:trPr>
        <w:tc>
          <w:tcPr>
            <w:tcW w:w="254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214,462</w:t>
            </w:r>
          </w:p>
        </w:tc>
        <w:tc>
          <w:tcPr>
            <w:tcW w:w="44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76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97,024</w:t>
            </w:r>
          </w:p>
        </w:tc>
        <w:tc>
          <w:tcPr>
            <w:tcW w:w="12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180,342</w:t>
            </w:r>
          </w:p>
        </w:tc>
        <w:tc>
          <w:tcPr>
            <w:tcW w:w="40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93,057</w:t>
            </w:r>
          </w:p>
        </w:tc>
        <w:tc>
          <w:tcPr>
            <w:tcW w:w="18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34,120</w:t>
            </w:r>
          </w:p>
        </w:tc>
        <w:tc>
          <w:tcPr>
            <w:tcW w:w="80" w:type="dxa"/>
            <w:vAlign w:val="bottom"/>
            <w:shd w:val="clear" w:color="auto" w:fill="D5DCE4"/>
          </w:tcPr>
          <w:p>
            <w:pPr>
              <w:spacing w:after="0"/>
              <w:rPr>
                <w:sz w:val="22"/>
                <w:szCs w:val="22"/>
                <w:color w:val="auto"/>
              </w:rPr>
            </w:pP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3,967</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18.9 %</w:t>
            </w:r>
          </w:p>
        </w:tc>
        <w:tc>
          <w:tcPr>
            <w:tcW w:w="80" w:type="dxa"/>
            <w:vAlign w:val="bottom"/>
            <w:shd w:val="clear" w:color="auto" w:fill="D5DCE4"/>
          </w:tcPr>
          <w:p>
            <w:pPr>
              <w:spacing w:after="0"/>
              <w:rPr>
                <w:sz w:val="22"/>
                <w:szCs w:val="22"/>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4.3 %</w:t>
            </w:r>
          </w:p>
        </w:tc>
      </w:tr>
      <w:tr>
        <w:trPr>
          <w:trHeight w:val="20"/>
        </w:trPr>
        <w:tc>
          <w:tcPr>
            <w:tcW w:w="236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06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0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7</w:t>
      </w:r>
    </w:p>
    <w:p>
      <w:pPr>
        <w:sectPr>
          <w:pgSz w:w="11900" w:h="16838" w:orient="portrait"/>
          <w:cols w:equalWidth="0" w:num="1">
            <w:col w:w="11240"/>
          </w:cols>
          <w:pgMar w:left="320" w:top="769"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56"/>
        </w:trPr>
        <w:tc>
          <w:tcPr>
            <w:tcW w:w="49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6"/>
                <w:szCs w:val="16"/>
                <w:b w:val="1"/>
                <w:bCs w:val="1"/>
                <w:color w:val="auto"/>
              </w:rPr>
              <w:t>March 31,</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120" w:type="dxa"/>
            <w:vAlign w:val="bottom"/>
          </w:tcPr>
          <w:p>
            <w:pPr>
              <w:jc w:val="right"/>
              <w:ind w:right="819"/>
              <w:spacing w:after="0"/>
              <w:rPr>
                <w:sz w:val="20"/>
                <w:szCs w:val="20"/>
                <w:color w:val="auto"/>
              </w:rPr>
            </w:pPr>
            <w:r>
              <w:rPr>
                <w:rFonts w:ascii="Arial" w:cs="Arial" w:eastAsia="Arial" w:hAnsi="Arial"/>
                <w:sz w:val="16"/>
                <w:szCs w:val="16"/>
                <w:b w:val="1"/>
                <w:bCs w:val="1"/>
                <w:color w:val="auto"/>
              </w:rPr>
              <w:t>YoY</w:t>
            </w:r>
          </w:p>
        </w:tc>
      </w:tr>
      <w:tr>
        <w:trPr>
          <w:trHeight w:val="237"/>
        </w:trPr>
        <w:tc>
          <w:tcPr>
            <w:tcW w:w="4980" w:type="dxa"/>
            <w:vAlign w:val="bottom"/>
            <w:tcBorders>
              <w:bottom w:val="single" w:sz="8" w:color="D5DCE4"/>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D5DCE4"/>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D5DCE4"/>
            </w:tcBorders>
          </w:tcPr>
          <w:p>
            <w:pPr>
              <w:spacing w:after="0"/>
              <w:rPr>
                <w:sz w:val="20"/>
                <w:szCs w:val="20"/>
                <w:color w:val="auto"/>
              </w:rPr>
            </w:pPr>
          </w:p>
        </w:tc>
        <w:tc>
          <w:tcPr>
            <w:tcW w:w="21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 Change</w:t>
            </w: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2.22</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2.19</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1.3 %</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Cash Rates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7.6 %</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2.40</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2.56</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w:t>
            </w:r>
          </w:p>
        </w:tc>
      </w:tr>
      <w:tr>
        <w:trPr>
          <w:trHeight w:val="233"/>
        </w:trPr>
        <w:tc>
          <w:tcPr>
            <w:tcW w:w="4980" w:type="dxa"/>
            <w:vAlign w:val="bottom"/>
          </w:tcPr>
          <w:p>
            <w:pPr>
              <w:ind w:left="240"/>
              <w:spacing w:after="0"/>
              <w:rPr>
                <w:sz w:val="20"/>
                <w:szCs w:val="20"/>
                <w:color w:val="auto"/>
              </w:rPr>
            </w:pPr>
            <w:r>
              <w:rPr>
                <w:rFonts w:ascii="Arial" w:cs="Arial" w:eastAsia="Arial" w:hAnsi="Arial"/>
                <w:sz w:val="16"/>
                <w:szCs w:val="16"/>
                <w:color w:val="auto"/>
              </w:rPr>
              <w:t>Swaps / Swaptions Tenor (greater than 1 year)</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3.90</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53"/>
        </w:trPr>
        <w:tc>
          <w:tcPr>
            <w:tcW w:w="498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0.21</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0.26</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(17.4)%</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38.51</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40.81</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(5.6)%</w:t>
            </w:r>
          </w:p>
        </w:tc>
      </w:tr>
      <w:tr>
        <w:trPr>
          <w:trHeight w:val="243"/>
        </w:trPr>
        <w:tc>
          <w:tcPr>
            <w:tcW w:w="498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147.49</w:t>
            </w:r>
          </w:p>
        </w:tc>
        <w:tc>
          <w:tcPr>
            <w:tcW w:w="80" w:type="dxa"/>
            <w:vAlign w:val="bottom"/>
          </w:tcPr>
          <w:p>
            <w:pPr>
              <w:spacing w:after="0"/>
              <w:rPr>
                <w:sz w:val="21"/>
                <w:szCs w:val="21"/>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135.45</w:t>
            </w:r>
          </w:p>
        </w:tc>
        <w:tc>
          <w:tcPr>
            <w:tcW w:w="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8.9 %</w:t>
            </w:r>
          </w:p>
        </w:tc>
      </w:tr>
      <w:tr>
        <w:trPr>
          <w:trHeight w:val="24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and U.S. Cash “EP”</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6.91</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6.33</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9.1 %</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18.10</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16.05</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12.8 %</w:t>
            </w:r>
          </w:p>
        </w:tc>
      </w:tr>
      <w:tr>
        <w:trPr>
          <w:trHeight w:val="233"/>
        </w:trPr>
        <w:tc>
          <w:tcPr>
            <w:tcW w:w="4980" w:type="dxa"/>
            <w:vAlign w:val="bottom"/>
          </w:tcPr>
          <w:p>
            <w:pPr>
              <w:ind w:left="140"/>
              <w:spacing w:after="0"/>
              <w:rPr>
                <w:sz w:val="20"/>
                <w:szCs w:val="20"/>
                <w:color w:val="auto"/>
              </w:rPr>
            </w:pPr>
            <w:r>
              <w:rPr>
                <w:rFonts w:ascii="Arial" w:cs="Arial" w:eastAsia="Arial" w:hAnsi="Arial"/>
                <w:sz w:val="16"/>
                <w:szCs w:val="16"/>
                <w:color w:val="auto"/>
              </w:rPr>
              <w:t>Cash Equities</w:t>
            </w:r>
          </w:p>
        </w:tc>
        <w:tc>
          <w:tcPr>
            <w:tcW w:w="1200" w:type="dxa"/>
            <w:vAlign w:val="bottom"/>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26.18</w:t>
            </w:r>
          </w:p>
        </w:tc>
        <w:tc>
          <w:tcPr>
            <w:tcW w:w="80" w:type="dxa"/>
            <w:vAlign w:val="bottom"/>
          </w:tcPr>
          <w:p>
            <w:pPr>
              <w:spacing w:after="0"/>
              <w:rPr>
                <w:sz w:val="20"/>
                <w:szCs w:val="20"/>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23.63</w:t>
            </w:r>
          </w:p>
        </w:tc>
        <w:tc>
          <w:tcPr>
            <w:tcW w:w="80" w:type="dxa"/>
            <w:vAlign w:val="bottom"/>
          </w:tcPr>
          <w:p>
            <w:pPr>
              <w:spacing w:after="0"/>
              <w:rPr>
                <w:sz w:val="20"/>
                <w:szCs w:val="20"/>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10.8 %</w:t>
            </w:r>
          </w:p>
        </w:tc>
      </w:tr>
      <w:tr>
        <w:trPr>
          <w:trHeight w:val="253"/>
        </w:trPr>
        <w:tc>
          <w:tcPr>
            <w:tcW w:w="498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Equity Derivatives</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6.18</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6.46</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 (Cash)</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0.31</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0.31</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0.7 %</w:t>
            </w:r>
          </w:p>
        </w:tc>
      </w:tr>
      <w:tr>
        <w:trPr>
          <w:trHeight w:val="216"/>
        </w:trPr>
        <w:tc>
          <w:tcPr>
            <w:tcW w:w="4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43"/>
        </w:trPr>
        <w:tc>
          <w:tcPr>
            <w:tcW w:w="498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 Fees per Million</w:t>
            </w:r>
          </w:p>
        </w:tc>
        <w:tc>
          <w:tcPr>
            <w:tcW w:w="1200" w:type="dxa"/>
            <w:vAlign w:val="bottom"/>
            <w:shd w:val="clear" w:color="auto" w:fill="D5DCE4"/>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2.93</w:t>
            </w:r>
          </w:p>
        </w:tc>
        <w:tc>
          <w:tcPr>
            <w:tcW w:w="8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2.77</w:t>
            </w:r>
          </w:p>
        </w:tc>
        <w:tc>
          <w:tcPr>
            <w:tcW w:w="80" w:type="dxa"/>
            <w:vAlign w:val="bottom"/>
            <w:shd w:val="clear" w:color="auto" w:fill="D5DCE4"/>
          </w:tcPr>
          <w:p>
            <w:pPr>
              <w:spacing w:after="0"/>
              <w:rPr>
                <w:sz w:val="21"/>
                <w:szCs w:val="21"/>
                <w:color w:val="auto"/>
              </w:rPr>
            </w:pPr>
          </w:p>
        </w:tc>
        <w:tc>
          <w:tcPr>
            <w:tcW w:w="21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5.8 %</w:t>
            </w:r>
          </w:p>
        </w:tc>
      </w:tr>
      <w:tr>
        <w:trPr>
          <w:trHeight w:val="294"/>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Fees per Million excluding Other Rates Derivatives </w:t>
            </w:r>
            <w:r>
              <w:rPr>
                <w:rFonts w:ascii="Arial" w:cs="Arial" w:eastAsia="Arial" w:hAnsi="Arial"/>
                <w:sz w:val="21"/>
                <w:szCs w:val="21"/>
                <w:b w:val="1"/>
                <w:bCs w:val="1"/>
                <w:color w:val="auto"/>
                <w:vertAlign w:val="superscript"/>
              </w:rPr>
              <w:t>(3)</w:t>
            </w:r>
          </w:p>
        </w:tc>
        <w:tc>
          <w:tcPr>
            <w:tcW w:w="1200" w:type="dxa"/>
            <w:vAlign w:val="bottom"/>
          </w:tcPr>
          <w:p>
            <w:pPr>
              <w:jc w:val="right"/>
              <w:ind w:right="101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3.33</w:t>
            </w:r>
          </w:p>
        </w:tc>
        <w:tc>
          <w:tcPr>
            <w:tcW w:w="80" w:type="dxa"/>
            <w:vAlign w:val="bottom"/>
          </w:tcPr>
          <w:p>
            <w:pPr>
              <w:spacing w:after="0"/>
              <w:rPr>
                <w:sz w:val="24"/>
                <w:szCs w:val="24"/>
                <w:color w:val="auto"/>
              </w:rPr>
            </w:pPr>
          </w:p>
        </w:tc>
        <w:tc>
          <w:tcPr>
            <w:tcW w:w="800" w:type="dxa"/>
            <w:vAlign w:val="bottom"/>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3.05</w:t>
            </w:r>
          </w:p>
        </w:tc>
        <w:tc>
          <w:tcPr>
            <w:tcW w:w="8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Arial" w:cs="Arial" w:eastAsia="Arial" w:hAnsi="Arial"/>
                <w:sz w:val="16"/>
                <w:szCs w:val="16"/>
                <w:b w:val="1"/>
                <w:bCs w:val="1"/>
                <w:color w:val="auto"/>
              </w:rPr>
              <w:t>9.2 %</w:t>
            </w:r>
          </w:p>
        </w:tc>
      </w:tr>
    </w:tbl>
    <w:p>
      <w:pPr>
        <w:spacing w:after="0" w:line="28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ind w:left="660" w:hanging="328"/>
        <w:spacing w:after="0" w:line="234" w:lineRule="auto"/>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and (2) U.S. High Grade and High Yield electronically processed (“EP”) activity.</w:t>
      </w:r>
    </w:p>
    <w:p>
      <w:pPr>
        <w:ind w:left="660" w:hanging="328"/>
        <w:spacing w:after="0"/>
        <w:tabs>
          <w:tab w:leader="none" w:pos="6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totals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8</w:t>
      </w:r>
    </w:p>
    <w:p>
      <w:pPr>
        <w:sectPr>
          <w:pgSz w:w="11900" w:h="16838" w:orient="portrait"/>
          <w:cols w:equalWidth="0" w:num="1">
            <w:col w:w="11240"/>
          </w:cols>
          <w:pgMar w:left="320" w:top="769"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0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ind w:left="1000"/>
              <w:spacing w:after="0"/>
              <w:rPr>
                <w:sz w:val="20"/>
                <w:szCs w:val="20"/>
                <w:color w:val="auto"/>
              </w:rPr>
            </w:pPr>
            <w:r>
              <w:rPr>
                <w:rFonts w:ascii="Arial" w:cs="Arial" w:eastAsia="Arial" w:hAnsi="Arial"/>
                <w:sz w:val="16"/>
                <w:szCs w:val="16"/>
                <w:b w:val="1"/>
                <w:bCs w:val="1"/>
                <w:color w:val="auto"/>
              </w:rPr>
              <w:t>2022 Q1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2021 Q1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56"/>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9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2"/>
                <w:szCs w:val="22"/>
                <w:color w:val="auto"/>
              </w:rPr>
            </w:pPr>
          </w:p>
        </w:tc>
        <w:tc>
          <w:tcPr>
            <w:tcW w:w="140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ADV (USD mm)</w:t>
            </w: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Volume (USD mm)</w:t>
            </w:r>
          </w:p>
        </w:tc>
        <w:tc>
          <w:tcPr>
            <w:tcW w:w="100" w:type="dxa"/>
            <w:vAlign w:val="bottom"/>
            <w:tcBorders>
              <w:bottom w:val="single" w:sz="8" w:color="D5DCE4"/>
            </w:tcBorders>
          </w:tcPr>
          <w:p>
            <w:pPr>
              <w:spacing w:after="0"/>
              <w:rPr>
                <w:sz w:val="22"/>
                <w:szCs w:val="22"/>
                <w:color w:val="auto"/>
              </w:rPr>
            </w:pPr>
          </w:p>
        </w:tc>
        <w:tc>
          <w:tcPr>
            <w:tcW w:w="27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2"/>
                <w:szCs w:val="22"/>
                <w:color w:val="auto"/>
              </w:rPr>
            </w:pPr>
          </w:p>
        </w:tc>
        <w:tc>
          <w:tcPr>
            <w:tcW w:w="12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387,494</w:t>
            </w:r>
          </w:p>
        </w:tc>
        <w:tc>
          <w:tcPr>
            <w:tcW w:w="46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24,059,807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jc w:val="right"/>
              <w:ind w:right="12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378,750</w:t>
            </w:r>
          </w:p>
        </w:tc>
        <w:tc>
          <w:tcPr>
            <w:tcW w:w="460" w:type="dxa"/>
            <w:vAlign w:val="bottom"/>
            <w:shd w:val="clear" w:color="auto" w:fill="D5DCE4"/>
          </w:tcPr>
          <w:p>
            <w:pPr>
              <w:jc w:val="right"/>
              <w:ind w:right="301"/>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23,169,513</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2.31 %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149,564</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9,272,977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115,375</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7,037,857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29.63 %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38,940</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2,453,215</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31,613</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1,991,630</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23.18 %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193,844</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12,018,322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226,368</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13,808,465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(14.37)%</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5,146</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315,293</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5,393</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331,561</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361,041</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22,531,757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287,477</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17,771,122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25.59 %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210,550</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13,143,966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182,088</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11,262,405</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15.63 %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148,430</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9,260,040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104,542</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6,457,053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41.98 %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100" w:type="dxa"/>
            <w:vAlign w:val="bottom"/>
            <w:tcBorders>
              <w:bottom w:val="single" w:sz="8" w:color="auto"/>
            </w:tcBorders>
            <w:shd w:val="clear" w:color="auto" w:fill="D5DCE4"/>
          </w:tcPr>
          <w:p>
            <w:pPr>
              <w:spacing w:after="0"/>
              <w:rPr>
                <w:sz w:val="21"/>
                <w:szCs w:val="21"/>
                <w:color w:val="auto"/>
              </w:rPr>
            </w:pPr>
          </w:p>
        </w:tc>
        <w:tc>
          <w:tcPr>
            <w:tcW w:w="130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2,060</w:t>
            </w:r>
          </w:p>
        </w:tc>
        <w:tc>
          <w:tcPr>
            <w:tcW w:w="46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127,751</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847</w:t>
            </w:r>
          </w:p>
        </w:tc>
        <w:tc>
          <w:tcPr>
            <w:tcW w:w="4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51,663</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143.31 %</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748,535</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46,591,564</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666,227</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40,940,635</w:t>
            </w:r>
          </w:p>
        </w:tc>
        <w:tc>
          <w:tcPr>
            <w:tcW w:w="100" w:type="dxa"/>
            <w:vAlign w:val="bottom"/>
            <w:tcBorders>
              <w:bottom w:val="single" w:sz="8" w:color="D5DCE4"/>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12.35 %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10,793</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666,330</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10,383</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632,811</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3.96 %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Grade - Fully Electronic</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3,090</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191,562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2,864</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174,692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7.89 %</w:t>
            </w: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w:t>
            </w:r>
          </w:p>
        </w:tc>
        <w:tc>
          <w:tcPr>
            <w:tcW w:w="100" w:type="dxa"/>
            <w:vAlign w:val="bottom"/>
            <w:shd w:val="clear" w:color="auto" w:fill="D5DCE4"/>
          </w:tcPr>
          <w:p>
            <w:pPr>
              <w:spacing w:after="0"/>
              <w:rPr>
                <w:sz w:val="18"/>
                <w:szCs w:val="18"/>
                <w:color w:val="auto"/>
              </w:rPr>
            </w:pPr>
          </w:p>
        </w:tc>
        <w:tc>
          <w:tcPr>
            <w:tcW w:w="130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2,838</w:t>
            </w:r>
          </w:p>
        </w:tc>
        <w:tc>
          <w:tcPr>
            <w:tcW w:w="460" w:type="dxa"/>
            <w:vAlign w:val="bottom"/>
            <w:shd w:val="clear" w:color="auto" w:fill="D5DCE4"/>
          </w:tcPr>
          <w:p>
            <w:pPr>
              <w:spacing w:after="0"/>
              <w:rPr>
                <w:sz w:val="18"/>
                <w:szCs w:val="18"/>
                <w:color w:val="auto"/>
              </w:rPr>
            </w:pPr>
          </w:p>
        </w:tc>
        <w:tc>
          <w:tcPr>
            <w:tcW w:w="10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175,975</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2,718</w:t>
            </w:r>
          </w:p>
        </w:tc>
        <w:tc>
          <w:tcPr>
            <w:tcW w:w="460" w:type="dxa"/>
            <w:vAlign w:val="bottom"/>
            <w:shd w:val="clear" w:color="auto" w:fill="D5DCE4"/>
          </w:tcPr>
          <w:p>
            <w:pPr>
              <w:spacing w:after="0"/>
              <w:rPr>
                <w:sz w:val="18"/>
                <w:szCs w:val="18"/>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165,769</w:t>
            </w:r>
          </w:p>
        </w:tc>
        <w:tc>
          <w:tcPr>
            <w:tcW w:w="100" w:type="dxa"/>
            <w:vAlign w:val="bottom"/>
            <w:tcBorders>
              <w:right w:val="single" w:sz="8" w:color="D5DCE4"/>
            </w:tcBorders>
            <w:shd w:val="clear" w:color="auto" w:fill="D5DCE4"/>
          </w:tcPr>
          <w:p>
            <w:pPr>
              <w:spacing w:after="0"/>
              <w:rPr>
                <w:sz w:val="18"/>
                <w:szCs w:val="18"/>
                <w:color w:val="auto"/>
              </w:rPr>
            </w:pPr>
          </w:p>
        </w:tc>
        <w:tc>
          <w:tcPr>
            <w:tcW w:w="126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4.44 %</w:t>
            </w:r>
          </w:p>
        </w:tc>
        <w:tc>
          <w:tcPr>
            <w:tcW w:w="0" w:type="dxa"/>
            <w:vAlign w:val="bottom"/>
          </w:tcPr>
          <w:p>
            <w:pPr>
              <w:spacing w:after="0"/>
              <w:rPr>
                <w:sz w:val="1"/>
                <w:szCs w:val="1"/>
                <w:color w:val="auto"/>
              </w:rPr>
            </w:pPr>
          </w:p>
        </w:tc>
      </w:tr>
      <w:tr>
        <w:trPr>
          <w:trHeight w:val="116"/>
        </w:trPr>
        <w:tc>
          <w:tcPr>
            <w:tcW w:w="1200" w:type="dxa"/>
            <w:vAlign w:val="bottom"/>
            <w:tcBorders>
              <w:right w:val="single" w:sz="8" w:color="D5DCE4"/>
            </w:tcBorders>
            <w:shd w:val="clear" w:color="auto" w:fill="D5DCE4"/>
          </w:tcPr>
          <w:p>
            <w:pPr>
              <w:spacing w:after="0"/>
              <w:rPr>
                <w:sz w:val="10"/>
                <w:szCs w:val="10"/>
                <w:color w:val="auto"/>
              </w:rPr>
            </w:pPr>
          </w:p>
        </w:tc>
        <w:tc>
          <w:tcPr>
            <w:tcW w:w="300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Processed</w:t>
            </w:r>
          </w:p>
        </w:tc>
        <w:tc>
          <w:tcPr>
            <w:tcW w:w="100" w:type="dxa"/>
            <w:vAlign w:val="bottom"/>
            <w:shd w:val="clear" w:color="auto" w:fill="D5DCE4"/>
          </w:tcPr>
          <w:p>
            <w:pPr>
              <w:spacing w:after="0"/>
              <w:rPr>
                <w:sz w:val="10"/>
                <w:szCs w:val="10"/>
                <w:color w:val="auto"/>
              </w:rPr>
            </w:pPr>
          </w:p>
        </w:tc>
        <w:tc>
          <w:tcPr>
            <w:tcW w:w="1300" w:type="dxa"/>
            <w:vAlign w:val="bottom"/>
            <w:tcBorders>
              <w:right w:val="single" w:sz="8" w:color="D5DCE4"/>
            </w:tcBorders>
            <w:vMerge w:val="continue"/>
            <w:shd w:val="clear" w:color="auto" w:fill="D5DCE4"/>
          </w:tcPr>
          <w:p>
            <w:pPr>
              <w:spacing w:after="0"/>
              <w:rPr>
                <w:sz w:val="10"/>
                <w:szCs w:val="10"/>
                <w:color w:val="auto"/>
              </w:rPr>
            </w:pPr>
          </w:p>
        </w:tc>
        <w:tc>
          <w:tcPr>
            <w:tcW w:w="460" w:type="dxa"/>
            <w:vAlign w:val="bottom"/>
            <w:shd w:val="clear" w:color="auto" w:fill="D5DCE4"/>
          </w:tcPr>
          <w:p>
            <w:pPr>
              <w:spacing w:after="0"/>
              <w:rPr>
                <w:sz w:val="10"/>
                <w:szCs w:val="10"/>
                <w:color w:val="auto"/>
              </w:rPr>
            </w:pPr>
          </w:p>
        </w:tc>
        <w:tc>
          <w:tcPr>
            <w:tcW w:w="100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28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460" w:type="dxa"/>
            <w:vAlign w:val="bottom"/>
            <w:shd w:val="clear" w:color="auto" w:fill="D5DCE4"/>
          </w:tcPr>
          <w:p>
            <w:pPr>
              <w:spacing w:after="0"/>
              <w:rPr>
                <w:sz w:val="10"/>
                <w:szCs w:val="10"/>
                <w:color w:val="auto"/>
              </w:rPr>
            </w:pPr>
          </w:p>
        </w:tc>
        <w:tc>
          <w:tcPr>
            <w:tcW w:w="98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6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00" w:type="dxa"/>
            <w:vAlign w:val="bottom"/>
            <w:tcBorders>
              <w:right w:val="single" w:sz="8" w:color="D5DCE4"/>
            </w:tcBorders>
            <w:shd w:val="clear" w:color="auto" w:fill="D5DCE4"/>
          </w:tcPr>
          <w:p>
            <w:pPr>
              <w:spacing w:after="0"/>
              <w:rPr>
                <w:sz w:val="9"/>
                <w:szCs w:val="9"/>
                <w:color w:val="auto"/>
              </w:rPr>
            </w:pPr>
          </w:p>
        </w:tc>
        <w:tc>
          <w:tcPr>
            <w:tcW w:w="3000" w:type="dxa"/>
            <w:vAlign w:val="bottom"/>
            <w:tcBorders>
              <w:right w:val="single" w:sz="8" w:color="D5DCE4"/>
            </w:tcBorders>
            <w:gridSpan w:val="2"/>
            <w:vMerge w:val="continue"/>
            <w:shd w:val="clear" w:color="auto" w:fill="D5DCE4"/>
          </w:tcPr>
          <w:p>
            <w:pPr>
              <w:spacing w:after="0"/>
              <w:rPr>
                <w:sz w:val="9"/>
                <w:szCs w:val="9"/>
                <w:color w:val="auto"/>
              </w:rPr>
            </w:pPr>
          </w:p>
        </w:tc>
        <w:tc>
          <w:tcPr>
            <w:tcW w:w="100" w:type="dxa"/>
            <w:vAlign w:val="bottom"/>
            <w:shd w:val="clear" w:color="auto" w:fill="D5DCE4"/>
          </w:tcPr>
          <w:p>
            <w:pPr>
              <w:spacing w:after="0"/>
              <w:rPr>
                <w:sz w:val="9"/>
                <w:szCs w:val="9"/>
                <w:color w:val="auto"/>
              </w:rPr>
            </w:pPr>
          </w:p>
        </w:tc>
        <w:tc>
          <w:tcPr>
            <w:tcW w:w="1300" w:type="dxa"/>
            <w:vAlign w:val="bottom"/>
            <w:tcBorders>
              <w:right w:val="single" w:sz="8" w:color="D5DCE4"/>
            </w:tcBorders>
            <w:shd w:val="clear" w:color="auto" w:fill="D5DCE4"/>
          </w:tcPr>
          <w:p>
            <w:pPr>
              <w:spacing w:after="0"/>
              <w:rPr>
                <w:sz w:val="9"/>
                <w:szCs w:val="9"/>
                <w:color w:val="auto"/>
              </w:rPr>
            </w:pPr>
          </w:p>
        </w:tc>
        <w:tc>
          <w:tcPr>
            <w:tcW w:w="460" w:type="dxa"/>
            <w:vAlign w:val="bottom"/>
            <w:shd w:val="clear" w:color="auto" w:fill="D5DCE4"/>
          </w:tcPr>
          <w:p>
            <w:pPr>
              <w:spacing w:after="0"/>
              <w:rPr>
                <w:sz w:val="9"/>
                <w:szCs w:val="9"/>
                <w:color w:val="auto"/>
              </w:rPr>
            </w:pPr>
          </w:p>
        </w:tc>
        <w:tc>
          <w:tcPr>
            <w:tcW w:w="100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280" w:type="dxa"/>
            <w:vAlign w:val="bottom"/>
            <w:shd w:val="clear" w:color="auto" w:fill="D5DCE4"/>
          </w:tcPr>
          <w:p>
            <w:pPr>
              <w:spacing w:after="0"/>
              <w:rPr>
                <w:sz w:val="9"/>
                <w:szCs w:val="9"/>
                <w:color w:val="auto"/>
              </w:rPr>
            </w:pPr>
          </w:p>
        </w:tc>
        <w:tc>
          <w:tcPr>
            <w:tcW w:w="1020" w:type="dxa"/>
            <w:vAlign w:val="bottom"/>
            <w:tcBorders>
              <w:right w:val="single" w:sz="8" w:color="D5DCE4"/>
            </w:tcBorders>
            <w:shd w:val="clear" w:color="auto" w:fill="D5DCE4"/>
          </w:tcPr>
          <w:p>
            <w:pPr>
              <w:spacing w:after="0"/>
              <w:rPr>
                <w:sz w:val="9"/>
                <w:szCs w:val="9"/>
                <w:color w:val="auto"/>
              </w:rPr>
            </w:pPr>
          </w:p>
        </w:tc>
        <w:tc>
          <w:tcPr>
            <w:tcW w:w="460" w:type="dxa"/>
            <w:vAlign w:val="bottom"/>
            <w:shd w:val="clear" w:color="auto" w:fill="D5DCE4"/>
          </w:tcPr>
          <w:p>
            <w:pPr>
              <w:spacing w:after="0"/>
              <w:rPr>
                <w:sz w:val="9"/>
                <w:szCs w:val="9"/>
                <w:color w:val="auto"/>
              </w:rPr>
            </w:pPr>
          </w:p>
        </w:tc>
        <w:tc>
          <w:tcPr>
            <w:tcW w:w="98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260" w:type="dxa"/>
            <w:vAlign w:val="bottom"/>
            <w:tcBorders>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776</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48,086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458</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27,928</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69.40 %</w:t>
            </w:r>
          </w:p>
        </w:tc>
        <w:tc>
          <w:tcPr>
            <w:tcW w:w="0" w:type="dxa"/>
            <w:vAlign w:val="bottom"/>
          </w:tcPr>
          <w:p>
            <w:pPr>
              <w:spacing w:after="0"/>
              <w:rPr>
                <w:sz w:val="1"/>
                <w:szCs w:val="1"/>
                <w:color w:val="auto"/>
              </w:rPr>
            </w:pPr>
          </w:p>
        </w:tc>
      </w:tr>
      <w:tr>
        <w:trPr>
          <w:trHeight w:val="212"/>
        </w:trPr>
        <w:tc>
          <w:tcPr>
            <w:tcW w:w="1200" w:type="dxa"/>
            <w:vAlign w:val="bottom"/>
            <w:tcBorders>
              <w:right w:val="single" w:sz="8" w:color="D5DCE4"/>
            </w:tcBorders>
            <w:shd w:val="clear" w:color="auto" w:fill="D5DCE4"/>
          </w:tcPr>
          <w:p>
            <w:pPr>
              <w:spacing w:after="0"/>
              <w:rPr>
                <w:sz w:val="18"/>
                <w:szCs w:val="18"/>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w:t>
            </w:r>
          </w:p>
        </w:tc>
        <w:tc>
          <w:tcPr>
            <w:tcW w:w="100" w:type="dxa"/>
            <w:vAlign w:val="bottom"/>
            <w:shd w:val="clear" w:color="auto" w:fill="D5DCE4"/>
          </w:tcPr>
          <w:p>
            <w:pPr>
              <w:spacing w:after="0"/>
              <w:rPr>
                <w:sz w:val="18"/>
                <w:szCs w:val="18"/>
                <w:color w:val="auto"/>
              </w:rPr>
            </w:pPr>
          </w:p>
        </w:tc>
        <w:tc>
          <w:tcPr>
            <w:tcW w:w="130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410</w:t>
            </w:r>
          </w:p>
        </w:tc>
        <w:tc>
          <w:tcPr>
            <w:tcW w:w="460" w:type="dxa"/>
            <w:vAlign w:val="bottom"/>
            <w:shd w:val="clear" w:color="auto" w:fill="D5DCE4"/>
          </w:tcPr>
          <w:p>
            <w:pPr>
              <w:spacing w:after="0"/>
              <w:rPr>
                <w:sz w:val="18"/>
                <w:szCs w:val="18"/>
                <w:color w:val="auto"/>
              </w:rPr>
            </w:pPr>
          </w:p>
        </w:tc>
        <w:tc>
          <w:tcPr>
            <w:tcW w:w="100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25,393</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020" w:type="dxa"/>
            <w:vAlign w:val="bottom"/>
            <w:tcBorders>
              <w:right w:val="single" w:sz="8" w:color="D5DCE4"/>
            </w:tcBorders>
            <w:vMerge w:val="restart"/>
            <w:shd w:val="clear" w:color="auto" w:fill="D5DCE4"/>
          </w:tcPr>
          <w:p>
            <w:pPr>
              <w:jc w:val="right"/>
              <w:ind w:right="19"/>
              <w:spacing w:after="0"/>
              <w:rPr>
                <w:sz w:val="20"/>
                <w:szCs w:val="20"/>
                <w:color w:val="auto"/>
              </w:rPr>
            </w:pPr>
            <w:r>
              <w:rPr>
                <w:rFonts w:ascii="Arial" w:cs="Arial" w:eastAsia="Arial" w:hAnsi="Arial"/>
                <w:sz w:val="16"/>
                <w:szCs w:val="16"/>
                <w:color w:val="auto"/>
              </w:rPr>
              <w:t>362</w:t>
            </w:r>
          </w:p>
        </w:tc>
        <w:tc>
          <w:tcPr>
            <w:tcW w:w="460" w:type="dxa"/>
            <w:vAlign w:val="bottom"/>
            <w:shd w:val="clear" w:color="auto" w:fill="D5DCE4"/>
          </w:tcPr>
          <w:p>
            <w:pPr>
              <w:spacing w:after="0"/>
              <w:rPr>
                <w:sz w:val="18"/>
                <w:szCs w:val="18"/>
                <w:color w:val="auto"/>
              </w:rPr>
            </w:pPr>
          </w:p>
        </w:tc>
        <w:tc>
          <w:tcPr>
            <w:tcW w:w="9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22,058</w:t>
            </w:r>
          </w:p>
        </w:tc>
        <w:tc>
          <w:tcPr>
            <w:tcW w:w="100" w:type="dxa"/>
            <w:vAlign w:val="bottom"/>
            <w:tcBorders>
              <w:right w:val="single" w:sz="8" w:color="D5DCE4"/>
            </w:tcBorders>
            <w:shd w:val="clear" w:color="auto" w:fill="D5DCE4"/>
          </w:tcPr>
          <w:p>
            <w:pPr>
              <w:spacing w:after="0"/>
              <w:rPr>
                <w:sz w:val="18"/>
                <w:szCs w:val="18"/>
                <w:color w:val="auto"/>
              </w:rPr>
            </w:pPr>
          </w:p>
        </w:tc>
        <w:tc>
          <w:tcPr>
            <w:tcW w:w="1260" w:type="dxa"/>
            <w:vAlign w:val="bottom"/>
            <w:tcBorders>
              <w:right w:val="single" w:sz="8" w:color="D5DCE4"/>
            </w:tcBorders>
            <w:vMerge w:val="restart"/>
            <w:shd w:val="clear" w:color="auto" w:fill="D5DCE4"/>
          </w:tcPr>
          <w:p>
            <w:pPr>
              <w:jc w:val="right"/>
              <w:spacing w:after="0"/>
              <w:rPr>
                <w:sz w:val="20"/>
                <w:szCs w:val="20"/>
                <w:color w:val="auto"/>
              </w:rPr>
            </w:pPr>
            <w:r>
              <w:rPr>
                <w:rFonts w:ascii="Arial" w:cs="Arial" w:eastAsia="Arial" w:hAnsi="Arial"/>
                <w:sz w:val="16"/>
                <w:szCs w:val="16"/>
                <w:color w:val="auto"/>
              </w:rPr>
              <w:t>13.26 %</w:t>
            </w:r>
          </w:p>
        </w:tc>
        <w:tc>
          <w:tcPr>
            <w:tcW w:w="0" w:type="dxa"/>
            <w:vAlign w:val="bottom"/>
          </w:tcPr>
          <w:p>
            <w:pPr>
              <w:spacing w:after="0"/>
              <w:rPr>
                <w:sz w:val="1"/>
                <w:szCs w:val="1"/>
                <w:color w:val="auto"/>
              </w:rPr>
            </w:pPr>
          </w:p>
        </w:tc>
      </w:tr>
      <w:tr>
        <w:trPr>
          <w:trHeight w:val="116"/>
        </w:trPr>
        <w:tc>
          <w:tcPr>
            <w:tcW w:w="1200" w:type="dxa"/>
            <w:vAlign w:val="bottom"/>
            <w:tcBorders>
              <w:right w:val="single" w:sz="8" w:color="D5DCE4"/>
            </w:tcBorders>
            <w:shd w:val="clear" w:color="auto" w:fill="D5DCE4"/>
          </w:tcPr>
          <w:p>
            <w:pPr>
              <w:spacing w:after="0"/>
              <w:rPr>
                <w:sz w:val="10"/>
                <w:szCs w:val="10"/>
                <w:color w:val="auto"/>
              </w:rPr>
            </w:pPr>
          </w:p>
        </w:tc>
        <w:tc>
          <w:tcPr>
            <w:tcW w:w="3000" w:type="dxa"/>
            <w:vAlign w:val="bottom"/>
            <w:tcBorders>
              <w:right w:val="single" w:sz="8" w:color="D5DCE4"/>
            </w:tcBorders>
            <w:gridSpan w:val="2"/>
            <w:vMerge w:val="restart"/>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Processed</w:t>
            </w:r>
          </w:p>
        </w:tc>
        <w:tc>
          <w:tcPr>
            <w:tcW w:w="100" w:type="dxa"/>
            <w:vAlign w:val="bottom"/>
            <w:shd w:val="clear" w:color="auto" w:fill="D5DCE4"/>
          </w:tcPr>
          <w:p>
            <w:pPr>
              <w:spacing w:after="0"/>
              <w:rPr>
                <w:sz w:val="10"/>
                <w:szCs w:val="10"/>
                <w:color w:val="auto"/>
              </w:rPr>
            </w:pPr>
          </w:p>
        </w:tc>
        <w:tc>
          <w:tcPr>
            <w:tcW w:w="1300" w:type="dxa"/>
            <w:vAlign w:val="bottom"/>
            <w:tcBorders>
              <w:right w:val="single" w:sz="8" w:color="D5DCE4"/>
            </w:tcBorders>
            <w:vMerge w:val="continue"/>
            <w:shd w:val="clear" w:color="auto" w:fill="D5DCE4"/>
          </w:tcPr>
          <w:p>
            <w:pPr>
              <w:spacing w:after="0"/>
              <w:rPr>
                <w:sz w:val="10"/>
                <w:szCs w:val="10"/>
                <w:color w:val="auto"/>
              </w:rPr>
            </w:pPr>
          </w:p>
        </w:tc>
        <w:tc>
          <w:tcPr>
            <w:tcW w:w="460" w:type="dxa"/>
            <w:vAlign w:val="bottom"/>
            <w:shd w:val="clear" w:color="auto" w:fill="D5DCE4"/>
          </w:tcPr>
          <w:p>
            <w:pPr>
              <w:spacing w:after="0"/>
              <w:rPr>
                <w:sz w:val="10"/>
                <w:szCs w:val="10"/>
                <w:color w:val="auto"/>
              </w:rPr>
            </w:pPr>
          </w:p>
        </w:tc>
        <w:tc>
          <w:tcPr>
            <w:tcW w:w="100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280" w:type="dxa"/>
            <w:vAlign w:val="bottom"/>
            <w:shd w:val="clear" w:color="auto" w:fill="D5DCE4"/>
          </w:tcPr>
          <w:p>
            <w:pPr>
              <w:spacing w:after="0"/>
              <w:rPr>
                <w:sz w:val="10"/>
                <w:szCs w:val="10"/>
                <w:color w:val="auto"/>
              </w:rPr>
            </w:pPr>
          </w:p>
        </w:tc>
        <w:tc>
          <w:tcPr>
            <w:tcW w:w="1020" w:type="dxa"/>
            <w:vAlign w:val="bottom"/>
            <w:tcBorders>
              <w:right w:val="single" w:sz="8" w:color="D5DCE4"/>
            </w:tcBorders>
            <w:vMerge w:val="continue"/>
            <w:shd w:val="clear" w:color="auto" w:fill="D5DCE4"/>
          </w:tcPr>
          <w:p>
            <w:pPr>
              <w:spacing w:after="0"/>
              <w:rPr>
                <w:sz w:val="10"/>
                <w:szCs w:val="10"/>
                <w:color w:val="auto"/>
              </w:rPr>
            </w:pPr>
          </w:p>
        </w:tc>
        <w:tc>
          <w:tcPr>
            <w:tcW w:w="460" w:type="dxa"/>
            <w:vAlign w:val="bottom"/>
            <w:shd w:val="clear" w:color="auto" w:fill="D5DCE4"/>
          </w:tcPr>
          <w:p>
            <w:pPr>
              <w:spacing w:after="0"/>
              <w:rPr>
                <w:sz w:val="10"/>
                <w:szCs w:val="10"/>
                <w:color w:val="auto"/>
              </w:rPr>
            </w:pPr>
          </w:p>
        </w:tc>
        <w:tc>
          <w:tcPr>
            <w:tcW w:w="980" w:type="dxa"/>
            <w:vAlign w:val="bottom"/>
            <w:vMerge w:val="continue"/>
            <w:shd w:val="clear" w:color="auto" w:fill="D5DCE4"/>
          </w:tcPr>
          <w:p>
            <w:pPr>
              <w:spacing w:after="0"/>
              <w:rPr>
                <w:sz w:val="10"/>
                <w:szCs w:val="10"/>
                <w:color w:val="auto"/>
              </w:rPr>
            </w:pPr>
          </w:p>
        </w:tc>
        <w:tc>
          <w:tcPr>
            <w:tcW w:w="100" w:type="dxa"/>
            <w:vAlign w:val="bottom"/>
            <w:tcBorders>
              <w:right w:val="single" w:sz="8" w:color="D5DCE4"/>
            </w:tcBorders>
            <w:shd w:val="clear" w:color="auto" w:fill="D5DCE4"/>
          </w:tcPr>
          <w:p>
            <w:pPr>
              <w:spacing w:after="0"/>
              <w:rPr>
                <w:sz w:val="10"/>
                <w:szCs w:val="10"/>
                <w:color w:val="auto"/>
              </w:rPr>
            </w:pPr>
          </w:p>
        </w:tc>
        <w:tc>
          <w:tcPr>
            <w:tcW w:w="1260" w:type="dxa"/>
            <w:vAlign w:val="bottom"/>
            <w:tcBorders>
              <w:right w:val="single" w:sz="8" w:color="D5DCE4"/>
            </w:tcBorders>
            <w:vMerge w:val="continue"/>
            <w:shd w:val="clear" w:color="auto" w:fill="D5DCE4"/>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1200" w:type="dxa"/>
            <w:vAlign w:val="bottom"/>
            <w:tcBorders>
              <w:right w:val="single" w:sz="8" w:color="D5DCE4"/>
            </w:tcBorders>
            <w:shd w:val="clear" w:color="auto" w:fill="D5DCE4"/>
          </w:tcPr>
          <w:p>
            <w:pPr>
              <w:spacing w:after="0"/>
              <w:rPr>
                <w:sz w:val="9"/>
                <w:szCs w:val="9"/>
                <w:color w:val="auto"/>
              </w:rPr>
            </w:pPr>
          </w:p>
        </w:tc>
        <w:tc>
          <w:tcPr>
            <w:tcW w:w="3000" w:type="dxa"/>
            <w:vAlign w:val="bottom"/>
            <w:tcBorders>
              <w:right w:val="single" w:sz="8" w:color="D5DCE4"/>
            </w:tcBorders>
            <w:gridSpan w:val="2"/>
            <w:vMerge w:val="continue"/>
            <w:shd w:val="clear" w:color="auto" w:fill="D5DCE4"/>
          </w:tcPr>
          <w:p>
            <w:pPr>
              <w:spacing w:after="0"/>
              <w:rPr>
                <w:sz w:val="9"/>
                <w:szCs w:val="9"/>
                <w:color w:val="auto"/>
              </w:rPr>
            </w:pPr>
          </w:p>
        </w:tc>
        <w:tc>
          <w:tcPr>
            <w:tcW w:w="100" w:type="dxa"/>
            <w:vAlign w:val="bottom"/>
            <w:shd w:val="clear" w:color="auto" w:fill="D5DCE4"/>
          </w:tcPr>
          <w:p>
            <w:pPr>
              <w:spacing w:after="0"/>
              <w:rPr>
                <w:sz w:val="9"/>
                <w:szCs w:val="9"/>
                <w:color w:val="auto"/>
              </w:rPr>
            </w:pPr>
          </w:p>
        </w:tc>
        <w:tc>
          <w:tcPr>
            <w:tcW w:w="1300" w:type="dxa"/>
            <w:vAlign w:val="bottom"/>
            <w:tcBorders>
              <w:right w:val="single" w:sz="8" w:color="D5DCE4"/>
            </w:tcBorders>
            <w:shd w:val="clear" w:color="auto" w:fill="D5DCE4"/>
          </w:tcPr>
          <w:p>
            <w:pPr>
              <w:spacing w:after="0"/>
              <w:rPr>
                <w:sz w:val="9"/>
                <w:szCs w:val="9"/>
                <w:color w:val="auto"/>
              </w:rPr>
            </w:pPr>
          </w:p>
        </w:tc>
        <w:tc>
          <w:tcPr>
            <w:tcW w:w="460" w:type="dxa"/>
            <w:vAlign w:val="bottom"/>
            <w:shd w:val="clear" w:color="auto" w:fill="D5DCE4"/>
          </w:tcPr>
          <w:p>
            <w:pPr>
              <w:spacing w:after="0"/>
              <w:rPr>
                <w:sz w:val="9"/>
                <w:szCs w:val="9"/>
                <w:color w:val="auto"/>
              </w:rPr>
            </w:pPr>
          </w:p>
        </w:tc>
        <w:tc>
          <w:tcPr>
            <w:tcW w:w="100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280" w:type="dxa"/>
            <w:vAlign w:val="bottom"/>
            <w:shd w:val="clear" w:color="auto" w:fill="D5DCE4"/>
          </w:tcPr>
          <w:p>
            <w:pPr>
              <w:spacing w:after="0"/>
              <w:rPr>
                <w:sz w:val="9"/>
                <w:szCs w:val="9"/>
                <w:color w:val="auto"/>
              </w:rPr>
            </w:pPr>
          </w:p>
        </w:tc>
        <w:tc>
          <w:tcPr>
            <w:tcW w:w="1020" w:type="dxa"/>
            <w:vAlign w:val="bottom"/>
            <w:tcBorders>
              <w:right w:val="single" w:sz="8" w:color="D5DCE4"/>
            </w:tcBorders>
            <w:shd w:val="clear" w:color="auto" w:fill="D5DCE4"/>
          </w:tcPr>
          <w:p>
            <w:pPr>
              <w:spacing w:after="0"/>
              <w:rPr>
                <w:sz w:val="9"/>
                <w:szCs w:val="9"/>
                <w:color w:val="auto"/>
              </w:rPr>
            </w:pPr>
          </w:p>
        </w:tc>
        <w:tc>
          <w:tcPr>
            <w:tcW w:w="460" w:type="dxa"/>
            <w:vAlign w:val="bottom"/>
            <w:shd w:val="clear" w:color="auto" w:fill="D5DCE4"/>
          </w:tcPr>
          <w:p>
            <w:pPr>
              <w:spacing w:after="0"/>
              <w:rPr>
                <w:sz w:val="9"/>
                <w:szCs w:val="9"/>
                <w:color w:val="auto"/>
              </w:rPr>
            </w:pPr>
          </w:p>
        </w:tc>
        <w:tc>
          <w:tcPr>
            <w:tcW w:w="980" w:type="dxa"/>
            <w:vAlign w:val="bottom"/>
            <w:shd w:val="clear" w:color="auto" w:fill="D5DCE4"/>
          </w:tcPr>
          <w:p>
            <w:pPr>
              <w:spacing w:after="0"/>
              <w:rPr>
                <w:sz w:val="9"/>
                <w:szCs w:val="9"/>
                <w:color w:val="auto"/>
              </w:rPr>
            </w:pPr>
          </w:p>
        </w:tc>
        <w:tc>
          <w:tcPr>
            <w:tcW w:w="100" w:type="dxa"/>
            <w:vAlign w:val="bottom"/>
            <w:tcBorders>
              <w:right w:val="single" w:sz="8" w:color="D5DCE4"/>
            </w:tcBorders>
            <w:shd w:val="clear" w:color="auto" w:fill="D5DCE4"/>
          </w:tcPr>
          <w:p>
            <w:pPr>
              <w:spacing w:after="0"/>
              <w:rPr>
                <w:sz w:val="9"/>
                <w:szCs w:val="9"/>
                <w:color w:val="auto"/>
              </w:rPr>
            </w:pPr>
          </w:p>
        </w:tc>
        <w:tc>
          <w:tcPr>
            <w:tcW w:w="1260" w:type="dxa"/>
            <w:vAlign w:val="bottom"/>
            <w:tcBorders>
              <w:right w:val="single" w:sz="8" w:color="D5DCE4"/>
            </w:tcBorders>
            <w:shd w:val="clear" w:color="auto" w:fill="D5DCE4"/>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2,085</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131,336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2,066</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130,134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0.92 %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249</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15,438</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204</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12,465</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21.85 %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1,252</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72,641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1,594</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92,457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(21.43)%</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94</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5,898</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118</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7,307</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22,420</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1,401,929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16,690</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1,033,323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34.34 %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100" w:type="dxa"/>
            <w:vAlign w:val="bottom"/>
            <w:tcBorders>
              <w:bottom w:val="single" w:sz="8" w:color="auto"/>
            </w:tcBorders>
            <w:shd w:val="clear" w:color="auto" w:fill="D5DCE4"/>
          </w:tcPr>
          <w:p>
            <w:pPr>
              <w:spacing w:after="0"/>
              <w:rPr>
                <w:sz w:val="21"/>
                <w:szCs w:val="21"/>
                <w:color w:val="auto"/>
              </w:rPr>
            </w:pPr>
          </w:p>
        </w:tc>
        <w:tc>
          <w:tcPr>
            <w:tcW w:w="130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22,420</w:t>
            </w:r>
          </w:p>
        </w:tc>
        <w:tc>
          <w:tcPr>
            <w:tcW w:w="46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1,401,929</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16,690</w:t>
            </w:r>
          </w:p>
        </w:tc>
        <w:tc>
          <w:tcPr>
            <w:tcW w:w="4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1,033,323</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34.34 %</w:t>
            </w:r>
          </w:p>
        </w:tc>
        <w:tc>
          <w:tcPr>
            <w:tcW w:w="0" w:type="dxa"/>
            <w:vAlign w:val="bottom"/>
          </w:tcPr>
          <w:p>
            <w:pPr>
              <w:spacing w:after="0"/>
              <w:rPr>
                <w:sz w:val="1"/>
                <w:szCs w:val="1"/>
                <w:color w:val="auto"/>
              </w:rPr>
            </w:pPr>
          </w:p>
        </w:tc>
      </w:tr>
      <w:tr>
        <w:trPr>
          <w:trHeight w:val="230"/>
        </w:trPr>
        <w:tc>
          <w:tcPr>
            <w:tcW w:w="120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33,214</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2,068,259</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27,072</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1,666,133</w:t>
            </w:r>
          </w:p>
        </w:tc>
        <w:tc>
          <w:tcPr>
            <w:tcW w:w="100" w:type="dxa"/>
            <w:vAlign w:val="bottom"/>
            <w:tcBorders>
              <w:bottom w:val="single" w:sz="8" w:color="D5DCE4"/>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22.69 %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12,766</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795,177</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9,022</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556,282</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41.50 %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9,050</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561,084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6,046</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368,822</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49.67 %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ETFs</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3,716</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234,094</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2,976</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187,459</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24.88 %</w:t>
            </w:r>
          </w:p>
        </w:tc>
        <w:tc>
          <w:tcPr>
            <w:tcW w:w="0" w:type="dxa"/>
            <w:vAlign w:val="bottom"/>
          </w:tcPr>
          <w:p>
            <w:pPr>
              <w:spacing w:after="0"/>
              <w:rPr>
                <w:sz w:val="1"/>
                <w:szCs w:val="1"/>
                <w:color w:val="auto"/>
              </w:rPr>
            </w:pPr>
          </w:p>
        </w:tc>
      </w:tr>
      <w:tr>
        <w:trPr>
          <w:trHeight w:val="233"/>
        </w:trPr>
        <w:tc>
          <w:tcPr>
            <w:tcW w:w="120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8,683</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539,189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7,154</w:t>
            </w: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439,390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21.37 %</w:t>
            </w: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3,370</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209,391</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3,054</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189,032</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10.35 %</w:t>
            </w:r>
          </w:p>
        </w:tc>
        <w:tc>
          <w:tcPr>
            <w:tcW w:w="0" w:type="dxa"/>
            <w:vAlign w:val="bottom"/>
          </w:tcPr>
          <w:p>
            <w:pPr>
              <w:spacing w:after="0"/>
              <w:rPr>
                <w:sz w:val="1"/>
                <w:szCs w:val="1"/>
                <w:color w:val="auto"/>
              </w:rPr>
            </w:pPr>
          </w:p>
        </w:tc>
      </w:tr>
      <w:tr>
        <w:trPr>
          <w:trHeight w:val="236"/>
        </w:trPr>
        <w:tc>
          <w:tcPr>
            <w:tcW w:w="120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5,314</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329,798</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4,101</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250,358</w:t>
            </w:r>
          </w:p>
        </w:tc>
        <w:tc>
          <w:tcPr>
            <w:tcW w:w="100" w:type="dxa"/>
            <w:vAlign w:val="bottom"/>
            <w:tcBorders>
              <w:bottom w:val="single" w:sz="8" w:color="D5DCE4"/>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29.57 %</w:t>
            </w:r>
          </w:p>
        </w:tc>
        <w:tc>
          <w:tcPr>
            <w:tcW w:w="0" w:type="dxa"/>
            <w:vAlign w:val="bottom"/>
          </w:tcPr>
          <w:p>
            <w:pPr>
              <w:spacing w:after="0"/>
              <w:rPr>
                <w:sz w:val="1"/>
                <w:szCs w:val="1"/>
                <w:color w:val="auto"/>
              </w:rPr>
            </w:pPr>
          </w:p>
        </w:tc>
      </w:tr>
      <w:tr>
        <w:trPr>
          <w:trHeight w:val="24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D5DCE4"/>
          </w:tcPr>
          <w:p>
            <w:pPr>
              <w:spacing w:after="0"/>
              <w:rPr>
                <w:sz w:val="21"/>
                <w:szCs w:val="21"/>
                <w:color w:val="auto"/>
              </w:rPr>
            </w:pPr>
          </w:p>
        </w:tc>
        <w:tc>
          <w:tcPr>
            <w:tcW w:w="130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21,449</w:t>
            </w:r>
          </w:p>
        </w:tc>
        <w:tc>
          <w:tcPr>
            <w:tcW w:w="460" w:type="dxa"/>
            <w:vAlign w:val="bottom"/>
            <w:tcBorders>
              <w:bottom w:val="single" w:sz="8" w:color="auto"/>
            </w:tcBorders>
            <w:shd w:val="clear" w:color="auto" w:fill="D5DCE4"/>
          </w:tcPr>
          <w:p>
            <w:pPr>
              <w:spacing w:after="0"/>
              <w:rPr>
                <w:sz w:val="21"/>
                <w:szCs w:val="21"/>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1,334,366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16,176</w:t>
            </w:r>
          </w:p>
        </w:tc>
        <w:tc>
          <w:tcPr>
            <w:tcW w:w="460" w:type="dxa"/>
            <w:vAlign w:val="bottom"/>
            <w:tcBorders>
              <w:bottom w:val="single" w:sz="8" w:color="auto"/>
            </w:tcBorders>
            <w:shd w:val="clear" w:color="auto" w:fill="D5DCE4"/>
          </w:tcPr>
          <w:p>
            <w:pPr>
              <w:spacing w:after="0"/>
              <w:rPr>
                <w:sz w:val="21"/>
                <w:szCs w:val="21"/>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995,672</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32.59 %</w:t>
            </w:r>
          </w:p>
        </w:tc>
        <w:tc>
          <w:tcPr>
            <w:tcW w:w="0" w:type="dxa"/>
            <w:vAlign w:val="bottom"/>
          </w:tcPr>
          <w:p>
            <w:pPr>
              <w:spacing w:after="0"/>
              <w:rPr>
                <w:sz w:val="1"/>
                <w:szCs w:val="1"/>
                <w:color w:val="auto"/>
              </w:rPr>
            </w:pPr>
          </w:p>
        </w:tc>
      </w:tr>
      <w:tr>
        <w:trPr>
          <w:trHeight w:val="178"/>
        </w:trPr>
        <w:tc>
          <w:tcPr>
            <w:tcW w:w="120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Money</w:t>
            </w:r>
          </w:p>
        </w:tc>
        <w:tc>
          <w:tcPr>
            <w:tcW w:w="3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10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371,753</w:t>
            </w:r>
          </w:p>
        </w:tc>
        <w:tc>
          <w:tcPr>
            <w:tcW w:w="4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23,118,472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349,517</w:t>
            </w:r>
          </w:p>
        </w:tc>
        <w:tc>
          <w:tcPr>
            <w:tcW w:w="4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21,474,112</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6.36 %</w:t>
            </w:r>
          </w:p>
        </w:tc>
        <w:tc>
          <w:tcPr>
            <w:tcW w:w="0" w:type="dxa"/>
            <w:vAlign w:val="bottom"/>
          </w:tcPr>
          <w:p>
            <w:pPr>
              <w:spacing w:after="0"/>
              <w:rPr>
                <w:sz w:val="1"/>
                <w:szCs w:val="1"/>
                <w:color w:val="auto"/>
              </w:rPr>
            </w:pPr>
          </w:p>
        </w:tc>
      </w:tr>
      <w:tr>
        <w:trPr>
          <w:trHeight w:val="120"/>
        </w:trPr>
        <w:tc>
          <w:tcPr>
            <w:tcW w:w="1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30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120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3"/>
        </w:trPr>
        <w:tc>
          <w:tcPr>
            <w:tcW w:w="1200" w:type="dxa"/>
            <w:vAlign w:val="bottom"/>
            <w:tcBorders>
              <w:right w:val="single" w:sz="8" w:color="D5DCE4"/>
            </w:tcBorders>
            <w:shd w:val="clear" w:color="auto" w:fill="D5DCE4"/>
          </w:tcPr>
          <w:p>
            <w:pPr>
              <w:spacing w:after="0"/>
              <w:rPr>
                <w:sz w:val="21"/>
                <w:szCs w:val="21"/>
                <w:color w:val="auto"/>
              </w:rPr>
            </w:pPr>
          </w:p>
        </w:tc>
        <w:tc>
          <w:tcPr>
            <w:tcW w:w="300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100" w:type="dxa"/>
            <w:vAlign w:val="bottom"/>
            <w:shd w:val="clear" w:color="auto" w:fill="D5DCE4"/>
          </w:tcPr>
          <w:p>
            <w:pPr>
              <w:spacing w:after="0"/>
              <w:rPr>
                <w:sz w:val="21"/>
                <w:szCs w:val="21"/>
                <w:color w:val="auto"/>
              </w:rPr>
            </w:pPr>
          </w:p>
        </w:tc>
        <w:tc>
          <w:tcPr>
            <w:tcW w:w="130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353,995</w:t>
            </w:r>
          </w:p>
        </w:tc>
        <w:tc>
          <w:tcPr>
            <w:tcW w:w="460" w:type="dxa"/>
            <w:vAlign w:val="bottom"/>
            <w:shd w:val="clear" w:color="auto" w:fill="D5DCE4"/>
          </w:tcPr>
          <w:p>
            <w:pPr>
              <w:spacing w:after="0"/>
              <w:rPr>
                <w:sz w:val="21"/>
                <w:szCs w:val="21"/>
                <w:color w:val="auto"/>
              </w:rPr>
            </w:pPr>
          </w:p>
        </w:tc>
        <w:tc>
          <w:tcPr>
            <w:tcW w:w="10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22,017,086</w:t>
            </w:r>
          </w:p>
        </w:tc>
        <w:tc>
          <w:tcPr>
            <w:tcW w:w="100" w:type="dxa"/>
            <w:vAlign w:val="bottom"/>
            <w:tcBorders>
              <w:right w:val="single" w:sz="8" w:color="D5DCE4"/>
            </w:tcBorders>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color w:val="auto"/>
              </w:rPr>
              <w:t>335,520</w:t>
            </w:r>
          </w:p>
        </w:tc>
        <w:tc>
          <w:tcPr>
            <w:tcW w:w="460" w:type="dxa"/>
            <w:vAlign w:val="bottom"/>
            <w:shd w:val="clear" w:color="auto" w:fill="D5DCE4"/>
          </w:tcPr>
          <w:p>
            <w:pPr>
              <w:spacing w:after="0"/>
              <w:rPr>
                <w:sz w:val="21"/>
                <w:szCs w:val="21"/>
                <w:color w:val="auto"/>
              </w:rPr>
            </w:pPr>
          </w:p>
        </w:tc>
        <w:tc>
          <w:tcPr>
            <w:tcW w:w="9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20,618,692</w:t>
            </w:r>
          </w:p>
        </w:tc>
        <w:tc>
          <w:tcPr>
            <w:tcW w:w="100" w:type="dxa"/>
            <w:vAlign w:val="bottom"/>
            <w:tcBorders>
              <w:right w:val="single" w:sz="8" w:color="D5DCE4"/>
            </w:tcBorders>
            <w:shd w:val="clear" w:color="auto" w:fill="D5DCE4"/>
          </w:tcPr>
          <w:p>
            <w:pPr>
              <w:spacing w:after="0"/>
              <w:rPr>
                <w:sz w:val="21"/>
                <w:szCs w:val="21"/>
                <w:color w:val="auto"/>
              </w:rPr>
            </w:pPr>
          </w:p>
        </w:tc>
        <w:tc>
          <w:tcPr>
            <w:tcW w:w="126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5.51 %</w:t>
            </w:r>
          </w:p>
        </w:tc>
        <w:tc>
          <w:tcPr>
            <w:tcW w:w="0" w:type="dxa"/>
            <w:vAlign w:val="bottom"/>
          </w:tcPr>
          <w:p>
            <w:pPr>
              <w:spacing w:after="0"/>
              <w:rPr>
                <w:sz w:val="1"/>
                <w:szCs w:val="1"/>
                <w:color w:val="auto"/>
              </w:rPr>
            </w:pPr>
          </w:p>
        </w:tc>
      </w:tr>
      <w:tr>
        <w:trPr>
          <w:trHeight w:val="237"/>
        </w:trPr>
        <w:tc>
          <w:tcPr>
            <w:tcW w:w="1200" w:type="dxa"/>
            <w:vAlign w:val="bottom"/>
            <w:tcBorders>
              <w:bottom w:val="single" w:sz="8" w:color="D5DCE4"/>
            </w:tcBorders>
          </w:tcPr>
          <w:p>
            <w:pPr>
              <w:spacing w:after="0"/>
              <w:rPr>
                <w:sz w:val="20"/>
                <w:szCs w:val="20"/>
                <w:color w:val="auto"/>
              </w:rPr>
            </w:pPr>
          </w:p>
        </w:tc>
        <w:tc>
          <w:tcPr>
            <w:tcW w:w="300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17,758</w:t>
            </w:r>
          </w:p>
        </w:tc>
        <w:tc>
          <w:tcPr>
            <w:tcW w:w="4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1,101,386</w:t>
            </w:r>
          </w:p>
        </w:tc>
        <w:tc>
          <w:tcPr>
            <w:tcW w:w="100" w:type="dxa"/>
            <w:vAlign w:val="bottom"/>
            <w:tcBorders>
              <w:bottom w:val="single" w:sz="8" w:color="D5DCE4"/>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13,996</w:t>
            </w: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855,420</w:t>
            </w:r>
          </w:p>
        </w:tc>
        <w:tc>
          <w:tcPr>
            <w:tcW w:w="100" w:type="dxa"/>
            <w:vAlign w:val="bottom"/>
            <w:tcBorders>
              <w:bottom w:val="single" w:sz="8" w:color="D5DCE4"/>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26.88 %</w:t>
            </w:r>
          </w:p>
        </w:tc>
        <w:tc>
          <w:tcPr>
            <w:tcW w:w="0" w:type="dxa"/>
            <w:vAlign w:val="bottom"/>
          </w:tcPr>
          <w:p>
            <w:pPr>
              <w:spacing w:after="0"/>
              <w:rPr>
                <w:sz w:val="1"/>
                <w:szCs w:val="1"/>
                <w:color w:val="auto"/>
              </w:rPr>
            </w:pPr>
          </w:p>
        </w:tc>
      </w:tr>
      <w:tr>
        <w:trPr>
          <w:trHeight w:val="236"/>
        </w:trPr>
        <w:tc>
          <w:tcPr>
            <w:tcW w:w="1200" w:type="dxa"/>
            <w:vAlign w:val="bottom"/>
            <w:tcBorders>
              <w:right w:val="single" w:sz="8" w:color="D5DCE4"/>
            </w:tcBorders>
            <w:shd w:val="clear" w:color="auto" w:fill="D5DCE4"/>
          </w:tcPr>
          <w:p>
            <w:pPr>
              <w:spacing w:after="0"/>
              <w:rPr>
                <w:sz w:val="20"/>
                <w:szCs w:val="20"/>
                <w:color w:val="auto"/>
              </w:rPr>
            </w:pPr>
          </w:p>
        </w:tc>
        <w:tc>
          <w:tcPr>
            <w:tcW w:w="300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D5DCE4"/>
          </w:tcPr>
          <w:p>
            <w:pPr>
              <w:spacing w:after="0"/>
              <w:rPr>
                <w:sz w:val="20"/>
                <w:szCs w:val="20"/>
                <w:color w:val="auto"/>
              </w:rPr>
            </w:pPr>
          </w:p>
        </w:tc>
        <w:tc>
          <w:tcPr>
            <w:tcW w:w="130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371,753</w:t>
            </w:r>
          </w:p>
        </w:tc>
        <w:tc>
          <w:tcPr>
            <w:tcW w:w="460" w:type="dxa"/>
            <w:vAlign w:val="bottom"/>
            <w:tcBorders>
              <w:bottom w:val="single" w:sz="8" w:color="auto"/>
            </w:tcBorders>
            <w:shd w:val="clear" w:color="auto" w:fill="D5DCE4"/>
          </w:tcPr>
          <w:p>
            <w:pPr>
              <w:spacing w:after="0"/>
              <w:rPr>
                <w:sz w:val="20"/>
                <w:szCs w:val="20"/>
                <w:color w:val="auto"/>
              </w:rPr>
            </w:pPr>
          </w:p>
        </w:tc>
        <w:tc>
          <w:tcPr>
            <w:tcW w:w="10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23,118,472</w:t>
            </w:r>
          </w:p>
        </w:tc>
        <w:tc>
          <w:tcPr>
            <w:tcW w:w="100" w:type="dxa"/>
            <w:vAlign w:val="bottom"/>
            <w:tcBorders>
              <w:right w:val="single" w:sz="8" w:color="D5DCE4"/>
            </w:tcBorders>
            <w:shd w:val="clear" w:color="auto" w:fill="D5DCE4"/>
          </w:tcPr>
          <w:p>
            <w:pPr>
              <w:spacing w:after="0"/>
              <w:rPr>
                <w:sz w:val="20"/>
                <w:szCs w:val="20"/>
                <w:color w:val="auto"/>
              </w:rPr>
            </w:pPr>
          </w:p>
        </w:tc>
        <w:tc>
          <w:tcPr>
            <w:tcW w:w="28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349,517</w:t>
            </w:r>
          </w:p>
        </w:tc>
        <w:tc>
          <w:tcPr>
            <w:tcW w:w="460" w:type="dxa"/>
            <w:vAlign w:val="bottom"/>
            <w:tcBorders>
              <w:bottom w:val="single" w:sz="8" w:color="auto"/>
            </w:tcBorders>
            <w:shd w:val="clear" w:color="auto" w:fill="D5DCE4"/>
          </w:tcPr>
          <w:p>
            <w:pPr>
              <w:spacing w:after="0"/>
              <w:rPr>
                <w:sz w:val="20"/>
                <w:szCs w:val="20"/>
                <w:color w:val="auto"/>
              </w:rPr>
            </w:pPr>
          </w:p>
        </w:tc>
        <w:tc>
          <w:tcPr>
            <w:tcW w:w="9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21,474,112</w:t>
            </w:r>
          </w:p>
        </w:tc>
        <w:tc>
          <w:tcPr>
            <w:tcW w:w="100" w:type="dxa"/>
            <w:vAlign w:val="bottom"/>
            <w:tcBorders>
              <w:right w:val="single" w:sz="8" w:color="D5DCE4"/>
            </w:tcBorders>
            <w:shd w:val="clear" w:color="auto" w:fill="D5DCE4"/>
          </w:tcPr>
          <w:p>
            <w:pPr>
              <w:spacing w:after="0"/>
              <w:rPr>
                <w:sz w:val="20"/>
                <w:szCs w:val="20"/>
                <w:color w:val="auto"/>
              </w:rPr>
            </w:pPr>
          </w:p>
        </w:tc>
        <w:tc>
          <w:tcPr>
            <w:tcW w:w="126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6.36 %</w:t>
            </w:r>
          </w:p>
        </w:tc>
        <w:tc>
          <w:tcPr>
            <w:tcW w:w="0" w:type="dxa"/>
            <w:vAlign w:val="bottom"/>
          </w:tcPr>
          <w:p>
            <w:pPr>
              <w:spacing w:after="0"/>
              <w:rPr>
                <w:sz w:val="1"/>
                <w:szCs w:val="1"/>
                <w:color w:val="auto"/>
              </w:rPr>
            </w:pPr>
          </w:p>
        </w:tc>
      </w:tr>
      <w:tr>
        <w:trPr>
          <w:trHeight w:val="203"/>
        </w:trPr>
        <w:tc>
          <w:tcPr>
            <w:tcW w:w="1200" w:type="dxa"/>
            <w:vAlign w:val="bottom"/>
            <w:tcBorders>
              <w:bottom w:val="single" w:sz="8" w:color="D5DCE4"/>
            </w:tcBorders>
          </w:tcPr>
          <w:p>
            <w:pPr>
              <w:spacing w:after="0"/>
              <w:rPr>
                <w:sz w:val="17"/>
                <w:szCs w:val="17"/>
                <w:color w:val="auto"/>
              </w:rPr>
            </w:pPr>
          </w:p>
        </w:tc>
        <w:tc>
          <w:tcPr>
            <w:tcW w:w="290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tcBorders>
              <w:right w:val="single" w:sz="8" w:color="D5DCE4"/>
            </w:tcBorders>
            <w:shd w:val="clear" w:color="auto" w:fill="D5DCE4"/>
          </w:tcPr>
          <w:p>
            <w:pPr>
              <w:spacing w:after="0"/>
              <w:rPr>
                <w:sz w:val="20"/>
                <w:szCs w:val="20"/>
                <w:color w:val="auto"/>
              </w:rPr>
            </w:pPr>
          </w:p>
        </w:tc>
        <w:tc>
          <w:tcPr>
            <w:tcW w:w="290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00" w:type="dxa"/>
            <w:vAlign w:val="bottom"/>
            <w:tcBorders>
              <w:bottom w:val="single" w:sz="8" w:color="auto"/>
            </w:tcBorders>
            <w:shd w:val="clear" w:color="auto" w:fill="D5DCE4"/>
          </w:tcPr>
          <w:p>
            <w:pPr>
              <w:spacing w:after="0"/>
              <w:rPr>
                <w:sz w:val="20"/>
                <w:szCs w:val="20"/>
                <w:color w:val="auto"/>
              </w:rPr>
            </w:pPr>
          </w:p>
        </w:tc>
        <w:tc>
          <w:tcPr>
            <w:tcW w:w="1300" w:type="dxa"/>
            <w:vAlign w:val="bottom"/>
            <w:tcBorders>
              <w:bottom w:val="single" w:sz="8" w:color="auto"/>
              <w:right w:val="single" w:sz="8" w:color="auto"/>
            </w:tcBorders>
            <w:shd w:val="clear" w:color="auto" w:fill="D5DCE4"/>
          </w:tcPr>
          <w:p>
            <w:pPr>
              <w:jc w:val="right"/>
              <w:ind w:right="39"/>
              <w:spacing w:after="0"/>
              <w:rPr>
                <w:sz w:val="20"/>
                <w:szCs w:val="20"/>
                <w:color w:val="auto"/>
              </w:rPr>
            </w:pPr>
            <w:r>
              <w:rPr>
                <w:rFonts w:ascii="Arial" w:cs="Arial" w:eastAsia="Arial" w:hAnsi="Arial"/>
                <w:sz w:val="16"/>
                <w:szCs w:val="16"/>
                <w:b w:val="1"/>
                <w:bCs w:val="1"/>
                <w:color w:val="auto"/>
              </w:rPr>
              <w:t>ADV (USD mm)</w:t>
            </w:r>
          </w:p>
        </w:tc>
        <w:tc>
          <w:tcPr>
            <w:tcW w:w="156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00" w:type="dxa"/>
            <w:vAlign w:val="bottom"/>
            <w:tcBorders>
              <w:bottom w:val="single" w:sz="8" w:color="auto"/>
              <w:right w:val="single" w:sz="8" w:color="auto"/>
            </w:tcBorders>
            <w:gridSpan w:val="2"/>
            <w:shd w:val="clear" w:color="auto" w:fill="D5DCE4"/>
          </w:tcPr>
          <w:p>
            <w:pPr>
              <w:jc w:val="right"/>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jc w:val="right"/>
              <w:ind w:right="120"/>
              <w:spacing w:after="0"/>
              <w:rPr>
                <w:sz w:val="20"/>
                <w:szCs w:val="20"/>
                <w:color w:val="auto"/>
              </w:rPr>
            </w:pPr>
            <w:r>
              <w:rPr>
                <w:rFonts w:ascii="Arial" w:cs="Arial" w:eastAsia="Arial" w:hAnsi="Arial"/>
                <w:sz w:val="16"/>
                <w:szCs w:val="16"/>
                <w:b w:val="1"/>
                <w:bCs w:val="1"/>
                <w:color w:val="auto"/>
              </w:rPr>
              <w:t>Volume (USD mm)</w:t>
            </w:r>
          </w:p>
        </w:tc>
        <w:tc>
          <w:tcPr>
            <w:tcW w:w="1260" w:type="dxa"/>
            <w:vAlign w:val="bottom"/>
            <w:tcBorders>
              <w:bottom w:val="single" w:sz="8" w:color="auto"/>
              <w:right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0" w:type="dxa"/>
            <w:vAlign w:val="bottom"/>
          </w:tcPr>
          <w:p>
            <w:pPr>
              <w:spacing w:after="0"/>
              <w:rPr>
                <w:sz w:val="1"/>
                <w:szCs w:val="1"/>
                <w:color w:val="auto"/>
              </w:rPr>
            </w:pPr>
          </w:p>
        </w:tc>
      </w:tr>
      <w:tr>
        <w:trPr>
          <w:trHeight w:val="237"/>
        </w:trPr>
        <w:tc>
          <w:tcPr>
            <w:tcW w:w="1200" w:type="dxa"/>
            <w:vAlign w:val="bottom"/>
            <w:tcBorders>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1,174,950</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73,112,661</w:t>
            </w: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1,058,992</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65,076,553</w:t>
            </w:r>
          </w:p>
        </w:tc>
        <w:tc>
          <w:tcPr>
            <w:tcW w:w="1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10.95 %</w:t>
            </w:r>
          </w:p>
        </w:tc>
        <w:tc>
          <w:tcPr>
            <w:tcW w:w="0" w:type="dxa"/>
            <w:vAlign w:val="bottom"/>
          </w:tcPr>
          <w:p>
            <w:pPr>
              <w:spacing w:after="0"/>
              <w:rPr>
                <w:sz w:val="1"/>
                <w:szCs w:val="1"/>
                <w:color w:val="auto"/>
              </w:rPr>
            </w:pPr>
          </w:p>
        </w:tc>
      </w:tr>
    </w:tbl>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191" w:lineRule="exact"/>
        <w:rPr>
          <w:sz w:val="20"/>
          <w:szCs w:val="20"/>
          <w:color w:val="auto"/>
        </w:rPr>
      </w:pPr>
    </w:p>
    <w:p>
      <w:pPr>
        <w:ind w:left="10580"/>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60"/>
          </w:cols>
          <w:pgMar w:left="320" w:top="769"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FORWARD-LOOKING STATEMENTS</w:t>
      </w:r>
    </w:p>
    <w:p>
      <w:pPr>
        <w:spacing w:after="0" w:line="13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2022 guidance, and future performance, the industry and markets in which we operate, our expectations, beliefs, plans, strategies, objectives, prospects and assumptions and future events are forward-looking statements.</w:t>
      </w:r>
    </w:p>
    <w:p>
      <w:pPr>
        <w:spacing w:after="0" w:line="20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BASIS OF PRESENTATION</w:t>
      </w:r>
    </w:p>
    <w:p>
      <w:pPr>
        <w:spacing w:after="0" w:line="13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32"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Please refer to the Company's previously filed Annual Report on Form 10-K for capitalized terms not otherwise defined herein.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13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NON-GAAP FINANCIAL MEASURES</w:t>
      </w:r>
    </w:p>
    <w:p>
      <w:pPr>
        <w:spacing w:after="0" w:line="13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23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229"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29"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22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22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w:t>
      </w:r>
    </w:p>
    <w:p>
      <w:pPr>
        <w:spacing w:after="0" w:line="20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annual average exchange rates for the prior period.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00" w:lineRule="exact"/>
        <w:rPr>
          <w:sz w:val="20"/>
          <w:szCs w:val="20"/>
          <w:color w:val="auto"/>
        </w:rPr>
      </w:pPr>
    </w:p>
    <w:p>
      <w:pPr>
        <w:ind w:right="280"/>
        <w:spacing w:after="0" w:line="253"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2022-04-28T06:12:54Z</dcterms:created>
  <dcterms:modified xsi:type="dcterms:W3CDTF">2022-04-28T06:12:54Z</dcterms:modified>
</cp:coreProperties>
</file>