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(Amendment No. ___)</w:t>
      </w:r>
    </w:p>
    <w:p>
      <w:pPr>
        <w:spacing w:after="0" w:line="200" w:lineRule="exact"/>
        <w:rPr>
          <w:sz w:val="24"/>
          <w:szCs w:val="24"/>
          <w:color w:val="auto"/>
        </w:rPr>
      </w:pPr>
    </w:p>
    <w:p>
      <w:pPr>
        <w:spacing w:after="0" w:line="282"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(Name of Issuer)</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29210</wp:posOffset>
            </wp:positionV>
            <wp:extent cx="57003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(Title of Class of Securities)</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(CUSIP Number)</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003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(Date of Event which Requires Filing of this Statement)</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8" w:lineRule="exact"/>
        <w:rPr>
          <w:sz w:val="24"/>
          <w:szCs w:val="24"/>
          <w:color w:val="auto"/>
        </w:rPr>
      </w:pPr>
    </w:p>
    <w:p>
      <w:pPr>
        <w:ind w:left="900" w:hanging="892"/>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Rule 13d-1(c)</w:t>
      </w:r>
    </w:p>
    <w:p>
      <w:pPr>
        <w:spacing w:after="0"/>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192" w:right="1440"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4040" w:type="dxa"/>
            <w:vAlign w:val="bottom"/>
          </w:tcPr>
          <w:p>
            <w:pPr>
              <w:ind w:left="2720"/>
              <w:spacing w:after="0"/>
              <w:rPr>
                <w:sz w:val="20"/>
                <w:szCs w:val="20"/>
                <w:color w:val="auto"/>
              </w:rPr>
            </w:pPr>
            <w:r>
              <w:rPr>
                <w:rFonts w:ascii="Arial" w:cs="Arial" w:eastAsia="Arial" w:hAnsi="Arial"/>
                <w:sz w:val="18"/>
                <w:szCs w:val="18"/>
                <w:b w:val="1"/>
                <w:bCs w:val="1"/>
                <w:color w:val="auto"/>
                <w:w w:val="84"/>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892672106</w:t>
      </w:r>
    </w:p>
    <w:p>
      <w:pPr>
        <w:spacing w:after="0" w:line="26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7" w:lineRule="exact"/>
        <w:rPr>
          <w:sz w:val="20"/>
          <w:szCs w:val="20"/>
          <w:color w:val="auto"/>
        </w:rPr>
      </w:pPr>
    </w:p>
    <w:p>
      <w:pPr>
        <w:ind w:left="1380" w:right="4020" w:hanging="785"/>
        <w:spacing w:after="0" w:line="181" w:lineRule="auto"/>
        <w:tabs>
          <w:tab w:leader="none" w:pos="1344" w:val="left"/>
        </w:tabs>
        <w:numPr>
          <w:ilvl w:val="0"/>
          <w:numId w:val="2"/>
        </w:numPr>
        <w:rPr>
          <w:rFonts w:ascii="Arial" w:cs="Arial" w:eastAsia="Arial" w:hAnsi="Arial"/>
          <w:sz w:val="46"/>
          <w:szCs w:val="46"/>
          <w:b w:val="1"/>
          <w:bCs w:val="1"/>
          <w:color w:val="auto"/>
          <w:vertAlign w:val="subscript"/>
        </w:rPr>
      </w:pPr>
      <w:r>
        <w:rPr>
          <w:rFonts w:ascii="Arial" w:cs="Arial" w:eastAsia="Arial" w:hAnsi="Arial"/>
          <w:sz w:val="16"/>
          <w:szCs w:val="16"/>
          <w:b w:val="1"/>
          <w:bCs w:val="1"/>
          <w:color w:val="auto"/>
        </w:rPr>
        <w:t xml:space="preserve">I.R.S. IDENTIFICATION NOS. OF ABOVE PERSONS (ENTITIES ONLY) </w:t>
      </w:r>
      <w:r>
        <w:rPr>
          <w:rFonts w:ascii="Arial" w:cs="Arial" w:eastAsia="Arial" w:hAnsi="Arial"/>
          <w:sz w:val="16"/>
          <w:szCs w:val="16"/>
          <w:color w:val="auto"/>
        </w:rPr>
        <w:t>Owership Capital B.V.</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00"/>
        <w:spacing w:after="0" w:line="258" w:lineRule="exact"/>
        <w:tabs>
          <w:tab w:leader="none" w:pos="1320" w:val="left"/>
        </w:tabs>
        <w:rPr>
          <w:sz w:val="20"/>
          <w:szCs w:val="20"/>
          <w:color w:val="auto"/>
        </w:rPr>
      </w:pPr>
      <w:r>
        <w:rPr>
          <w:rFonts w:ascii="Arial" w:cs="Arial" w:eastAsia="Arial" w:hAnsi="Arial"/>
          <w:sz w:val="29"/>
          <w:szCs w:val="29"/>
          <w:b w:val="1"/>
          <w:bCs w:val="1"/>
          <w:color w:val="auto"/>
        </w:rPr>
        <w:t>2</w:t>
      </w:r>
      <w:r>
        <w:rPr>
          <w:sz w:val="20"/>
          <w:szCs w:val="20"/>
          <w:color w:val="auto"/>
        </w:rPr>
        <w:tab/>
      </w:r>
      <w:r>
        <w:rPr>
          <w:rFonts w:ascii="Arial" w:cs="Arial" w:eastAsia="Arial" w:hAnsi="Arial"/>
          <w:sz w:val="17"/>
          <w:szCs w:val="17"/>
          <w:color w:val="auto"/>
        </w:rPr>
        <w:t>(a)</w:t>
      </w:r>
      <w:r>
        <w:rPr>
          <w:rFonts w:ascii="MS PGothic" w:cs="MS PGothic" w:eastAsia="MS PGothic" w:hAnsi="MS PGothic"/>
          <w:sz w:val="17"/>
          <w:szCs w:val="17"/>
          <w:color w:val="auto"/>
        </w:rPr>
        <w:t>☐</w:t>
      </w:r>
    </w:p>
    <w:p>
      <w:pPr>
        <w:spacing w:after="0" w:line="8"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ind w:left="1340"/>
        <w:spacing w:after="0" w:line="182" w:lineRule="auto"/>
        <w:rPr>
          <w:sz w:val="20"/>
          <w:szCs w:val="20"/>
          <w:color w:val="auto"/>
        </w:rPr>
      </w:pPr>
      <w:r>
        <w:rPr>
          <w:rFonts w:ascii="Arial" w:cs="Arial" w:eastAsia="Arial" w:hAnsi="Arial"/>
          <w:sz w:val="18"/>
          <w:szCs w:val="18"/>
          <w:b w:val="1"/>
          <w:bCs w:val="1"/>
          <w:color w:val="auto"/>
        </w:rPr>
        <w:t>SEC USE ONLY</w:t>
      </w:r>
    </w:p>
    <w:p>
      <w:pPr>
        <w:ind w:left="600"/>
        <w:spacing w:after="0"/>
        <w:rPr>
          <w:sz w:val="20"/>
          <w:szCs w:val="20"/>
          <w:color w:val="auto"/>
        </w:rPr>
      </w:pPr>
      <w:r>
        <w:rPr>
          <w:rFonts w:ascii="Arial" w:cs="Arial" w:eastAsia="Arial" w:hAnsi="Arial"/>
          <w:sz w:val="32"/>
          <w:szCs w:val="32"/>
          <w:b w:val="1"/>
          <w:bCs w:val="1"/>
          <w:color w:val="auto"/>
        </w:rPr>
        <w:t>3</w:t>
      </w:r>
    </w:p>
    <w:p>
      <w:pPr>
        <w:spacing w:after="0" w:line="11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CITIZENSHIP OR PLACE OF ORGANIZATION</w:t>
      </w:r>
    </w:p>
    <w:p>
      <w:pPr>
        <w:ind w:left="600"/>
        <w:spacing w:after="0" w:line="184" w:lineRule="auto"/>
        <w:tabs>
          <w:tab w:leader="none" w:pos="1360" w:val="left"/>
        </w:tabs>
        <w:rPr>
          <w:sz w:val="20"/>
          <w:szCs w:val="20"/>
          <w:color w:val="auto"/>
        </w:rPr>
      </w:pPr>
      <w:r>
        <w:rPr>
          <w:rFonts w:ascii="Arial" w:cs="Arial" w:eastAsia="Arial" w:hAnsi="Arial"/>
          <w:sz w:val="26"/>
          <w:szCs w:val="26"/>
          <w:b w:val="1"/>
          <w:bCs w:val="1"/>
          <w:color w:val="auto"/>
          <w:vertAlign w:val="superscript"/>
        </w:rPr>
        <w:t>4</w:t>
      </w:r>
      <w:r>
        <w:rPr>
          <w:sz w:val="20"/>
          <w:szCs w:val="20"/>
          <w:color w:val="auto"/>
        </w:rPr>
        <w:tab/>
      </w:r>
      <w:r>
        <w:rPr>
          <w:rFonts w:ascii="Arial" w:cs="Arial" w:eastAsia="Arial" w:hAnsi="Arial"/>
          <w:sz w:val="14"/>
          <w:szCs w:val="14"/>
          <w:color w:val="auto"/>
        </w:rPr>
        <w:t>Netherlands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5</w:t>
            </w:r>
          </w:p>
        </w:tc>
        <w:tc>
          <w:tcPr>
            <w:tcW w:w="8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4,739,429</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6</w:t>
            </w:r>
          </w:p>
        </w:tc>
        <w:tc>
          <w:tcPr>
            <w:tcW w:w="858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0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vMerge w:val="continue"/>
          </w:tcPr>
          <w:p>
            <w:pPr>
              <w:spacing w:after="0"/>
              <w:rPr>
                <w:sz w:val="18"/>
                <w:szCs w:val="18"/>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0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7</w:t>
            </w:r>
          </w:p>
        </w:tc>
        <w:tc>
          <w:tcPr>
            <w:tcW w:w="8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0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00" w:type="dxa"/>
            <w:vAlign w:val="bottom"/>
          </w:tcPr>
          <w:p>
            <w:pPr>
              <w:jc w:val="center"/>
              <w:ind w:left="589"/>
              <w:spacing w:after="0"/>
              <w:rPr>
                <w:sz w:val="20"/>
                <w:szCs w:val="20"/>
                <w:color w:val="auto"/>
              </w:rPr>
            </w:pPr>
            <w:r>
              <w:rPr>
                <w:rFonts w:ascii="Arial" w:cs="Arial" w:eastAsia="Arial" w:hAnsi="Arial"/>
                <w:sz w:val="18"/>
                <w:szCs w:val="18"/>
                <w:b w:val="1"/>
                <w:bCs w:val="1"/>
                <w:color w:val="auto"/>
              </w:rPr>
              <w:t>WITH</w:t>
            </w:r>
          </w:p>
        </w:tc>
        <w:tc>
          <w:tcPr>
            <w:tcW w:w="70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continue"/>
          </w:tcPr>
          <w:p>
            <w:pPr>
              <w:spacing w:after="0"/>
              <w:rPr>
                <w:sz w:val="21"/>
                <w:szCs w:val="21"/>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5,723,939</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32"/>
                <w:szCs w:val="32"/>
                <w:b w:val="1"/>
                <w:bCs w:val="1"/>
                <w:color w:val="auto"/>
              </w:rPr>
              <w:t>8</w:t>
            </w:r>
          </w:p>
        </w:tc>
        <w:tc>
          <w:tcPr>
            <w:tcW w:w="85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80" w:type="dxa"/>
            <w:vAlign w:val="bottom"/>
          </w:tcPr>
          <w:p>
            <w:pPr>
              <w:ind w:left="6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right"/>
              <w:ind w:right="429"/>
              <w:spacing w:after="0"/>
              <w:rPr>
                <w:sz w:val="20"/>
                <w:szCs w:val="20"/>
                <w:color w:val="auto"/>
              </w:rPr>
            </w:pPr>
            <w:r>
              <w:rPr>
                <w:rFonts w:ascii="Arial" w:cs="Arial" w:eastAsia="Arial" w:hAnsi="Arial"/>
                <w:sz w:val="32"/>
                <w:szCs w:val="32"/>
                <w:b w:val="1"/>
                <w:bCs w:val="1"/>
                <w:color w:val="auto"/>
              </w:rPr>
              <w:t>9</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858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306"/>
        </w:trPr>
        <w:tc>
          <w:tcPr>
            <w:tcW w:w="1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gridSpan w:val="2"/>
          </w:tcPr>
          <w:p>
            <w:pPr>
              <w:jc w:val="right"/>
              <w:ind w:right="8410"/>
              <w:spacing w:after="0"/>
              <w:rPr>
                <w:sz w:val="20"/>
                <w:szCs w:val="20"/>
                <w:color w:val="auto"/>
              </w:rPr>
            </w:pPr>
            <w:r>
              <w:rPr>
                <w:rFonts w:ascii="Arial" w:cs="Arial" w:eastAsia="Arial" w:hAnsi="Arial"/>
                <w:sz w:val="18"/>
                <w:szCs w:val="18"/>
                <w:color w:val="auto"/>
                <w:w w:val="89"/>
              </w:rPr>
              <w:t>5,723,939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right"/>
              <w:ind w:right="349"/>
              <w:spacing w:after="0"/>
              <w:rPr>
                <w:sz w:val="20"/>
                <w:szCs w:val="20"/>
                <w:color w:val="auto"/>
              </w:rPr>
            </w:pPr>
            <w:r>
              <w:rPr>
                <w:rFonts w:ascii="Arial" w:cs="Arial" w:eastAsia="Arial" w:hAnsi="Arial"/>
                <w:sz w:val="32"/>
                <w:szCs w:val="32"/>
                <w:b w:val="1"/>
                <w:bCs w:val="1"/>
                <w:color w:val="auto"/>
              </w:rPr>
              <w:t>10</w:t>
            </w:r>
          </w:p>
        </w:tc>
        <w:tc>
          <w:tcPr>
            <w:tcW w:w="9940" w:type="dxa"/>
            <w:vAlign w:val="bottom"/>
            <w:gridSpan w:val="3"/>
          </w:tcPr>
          <w:p>
            <w:pPr>
              <w:ind w:left="4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00" w:type="dxa"/>
            <w:vAlign w:val="bottom"/>
            <w:vMerge w:val="continue"/>
          </w:tcPr>
          <w:p>
            <w:pPr>
              <w:spacing w:after="0"/>
              <w:rPr>
                <w:sz w:val="24"/>
                <w:szCs w:val="24"/>
                <w:color w:val="auto"/>
              </w:rPr>
            </w:pPr>
          </w:p>
        </w:tc>
        <w:tc>
          <w:tcPr>
            <w:tcW w:w="7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20"/>
        <w:spacing w:after="0" w:line="233" w:lineRule="auto"/>
        <w:tabs>
          <w:tab w:leader="none" w:pos="136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35"/>
          <w:szCs w:val="35"/>
          <w:color w:val="auto"/>
          <w:vertAlign w:val="subscript"/>
        </w:rPr>
        <w:t>5.5%</w:t>
      </w:r>
      <w:r>
        <w:rPr>
          <w:rFonts w:ascii="Arial" w:cs="Arial" w:eastAsia="Arial" w:hAnsi="Arial"/>
          <w:sz w:val="18"/>
          <w:szCs w:val="18"/>
          <w:color w:val="auto"/>
        </w:rPr>
        <w:t>(1)</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TYPE OF REPORTING PERSON (SEE INSTRUCTIONS)</w:t>
      </w:r>
    </w:p>
    <w:p>
      <w:pPr>
        <w:ind w:left="520"/>
        <w:spacing w:after="0" w:line="237" w:lineRule="auto"/>
        <w:tabs>
          <w:tab w:leader="none" w:pos="136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color w:val="auto"/>
          <w:vertAlign w:val="subscript"/>
        </w:rPr>
        <w:t>FI</w:t>
      </w:r>
    </w:p>
    <w:p>
      <w:pPr>
        <w:spacing w:after="0" w:line="200" w:lineRule="exact"/>
        <w:rPr>
          <w:sz w:val="20"/>
          <w:szCs w:val="20"/>
          <w:color w:val="auto"/>
        </w:rPr>
      </w:pPr>
    </w:p>
    <w:p>
      <w:pPr>
        <w:spacing w:after="0" w:line="387" w:lineRule="exact"/>
        <w:rPr>
          <w:sz w:val="20"/>
          <w:szCs w:val="20"/>
          <w:color w:val="auto"/>
        </w:rPr>
      </w:pPr>
    </w:p>
    <w:p>
      <w:pPr>
        <w:ind w:right="560" w:firstLine="8"/>
        <w:spacing w:after="0" w:line="205" w:lineRule="auto"/>
        <w:tabs>
          <w:tab w:leader="none" w:pos="264"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Based upon 104,759,476 shares of Class A Common Stock, par value $0.00001 per share of Tradeweb Markets Inc. (the “Issuer”) outstanding as of April 21, 2021 as reported in the Issuer's Form 10-Q filed with the Securities and Exchange Commission on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620" w:type="dxa"/>
            <w:vAlign w:val="bottom"/>
          </w:tcPr>
          <w:p>
            <w:pPr>
              <w:spacing w:after="0"/>
              <w:rPr>
                <w:sz w:val="19"/>
                <w:szCs w:val="19"/>
                <w:color w:val="auto"/>
              </w:rPr>
            </w:pPr>
          </w:p>
        </w:tc>
        <w:tc>
          <w:tcPr>
            <w:tcW w:w="6000" w:type="dxa"/>
            <w:vAlign w:val="bottom"/>
          </w:tcPr>
          <w:p>
            <w:pPr>
              <w:ind w:left="4680"/>
              <w:spacing w:after="0"/>
              <w:rPr>
                <w:sz w:val="20"/>
                <w:szCs w:val="20"/>
                <w:color w:val="auto"/>
              </w:rPr>
            </w:pPr>
            <w:r>
              <w:rPr>
                <w:rFonts w:ascii="Arial" w:cs="Arial" w:eastAsia="Arial" w:hAnsi="Arial"/>
                <w:sz w:val="18"/>
                <w:szCs w:val="18"/>
                <w:b w:val="1"/>
                <w:bCs w:val="1"/>
                <w:color w:val="auto"/>
                <w:w w:val="84"/>
              </w:rPr>
              <w:t>Page 3 of 5 Pages</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892672106</w:t>
            </w:r>
          </w:p>
        </w:tc>
        <w:tc>
          <w:tcPr>
            <w:tcW w:w="62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59"/>
        </w:trPr>
        <w:tc>
          <w:tcPr>
            <w:tcW w:w="1140" w:type="dxa"/>
            <w:vAlign w:val="bottom"/>
          </w:tcPr>
          <w:p>
            <w:pPr>
              <w:ind w:left="340"/>
              <w:spacing w:after="0"/>
              <w:rPr>
                <w:sz w:val="20"/>
                <w:szCs w:val="20"/>
                <w:color w:val="auto"/>
              </w:rPr>
            </w:pPr>
            <w:r>
              <w:rPr>
                <w:rFonts w:ascii="Arial" w:cs="Arial" w:eastAsia="Arial" w:hAnsi="Arial"/>
                <w:sz w:val="18"/>
                <w:szCs w:val="18"/>
                <w:color w:val="auto"/>
              </w:rPr>
              <w:t>Item 1.</w:t>
            </w: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6000" w:type="dxa"/>
            <w:vAlign w:val="bottom"/>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Tradeweb Markets Inc.</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6000" w:type="dxa"/>
            <w:vAlign w:val="bottom"/>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1177 Avenue of the Americas</w:t>
            </w:r>
          </w:p>
        </w:tc>
      </w:tr>
      <w:tr>
        <w:trPr>
          <w:trHeight w:val="230"/>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New York, NY 10036</w:t>
            </w:r>
          </w:p>
        </w:tc>
      </w:tr>
      <w:tr>
        <w:trPr>
          <w:trHeight w:val="648"/>
        </w:trPr>
        <w:tc>
          <w:tcPr>
            <w:tcW w:w="1140" w:type="dxa"/>
            <w:vAlign w:val="bottom"/>
          </w:tcPr>
          <w:p>
            <w:pPr>
              <w:ind w:left="340"/>
              <w:spacing w:after="0"/>
              <w:rPr>
                <w:sz w:val="20"/>
                <w:szCs w:val="20"/>
                <w:color w:val="auto"/>
              </w:rPr>
            </w:pPr>
            <w:r>
              <w:rPr>
                <w:rFonts w:ascii="Arial" w:cs="Arial" w:eastAsia="Arial" w:hAnsi="Arial"/>
                <w:sz w:val="18"/>
                <w:szCs w:val="18"/>
                <w:color w:val="auto"/>
              </w:rPr>
              <w:t>Item 2.</w:t>
            </w: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6000" w:type="dxa"/>
            <w:vAlign w:val="bottom"/>
          </w:tcPr>
          <w:p>
            <w:pPr>
              <w:ind w:left="120"/>
              <w:spacing w:after="0"/>
              <w:rPr>
                <w:sz w:val="20"/>
                <w:szCs w:val="20"/>
                <w:color w:val="auto"/>
              </w:rPr>
            </w:pPr>
            <w:r>
              <w:rPr>
                <w:rFonts w:ascii="Arial" w:cs="Arial" w:eastAsia="Arial" w:hAnsi="Arial"/>
                <w:sz w:val="18"/>
                <w:szCs w:val="18"/>
                <w:color w:val="auto"/>
              </w:rPr>
              <w:t>Name of Persons Filing:</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Ownership Capital B.V.</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6000" w:type="dxa"/>
            <w:vAlign w:val="bottom"/>
          </w:tcPr>
          <w:p>
            <w:pPr>
              <w:ind w:left="120"/>
              <w:spacing w:after="0"/>
              <w:rPr>
                <w:sz w:val="20"/>
                <w:szCs w:val="20"/>
                <w:color w:val="auto"/>
              </w:rPr>
            </w:pPr>
            <w:r>
              <w:rPr>
                <w:rFonts w:ascii="Arial" w:cs="Arial" w:eastAsia="Arial" w:hAnsi="Arial"/>
                <w:sz w:val="18"/>
                <w:szCs w:val="18"/>
                <w:color w:val="auto"/>
              </w:rPr>
              <w:t>Address of Principal Business Office or, if none, Residence :</w:t>
            </w:r>
          </w:p>
        </w:tc>
      </w:tr>
      <w:tr>
        <w:trPr>
          <w:trHeight w:val="418"/>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Herengracht 107</w:t>
            </w:r>
          </w:p>
        </w:tc>
      </w:tr>
      <w:tr>
        <w:trPr>
          <w:trHeight w:val="230"/>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Amsterdam, The Netherlands 1015 BE</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(c)</w:t>
            </w:r>
          </w:p>
        </w:tc>
        <w:tc>
          <w:tcPr>
            <w:tcW w:w="6000" w:type="dxa"/>
            <w:vAlign w:val="bottom"/>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Netherlands</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(d)</w:t>
            </w:r>
          </w:p>
        </w:tc>
        <w:tc>
          <w:tcPr>
            <w:tcW w:w="6000" w:type="dxa"/>
            <w:vAlign w:val="bottom"/>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Class A Common Stock, par value $0.00001 per share</w:t>
            </w:r>
          </w:p>
        </w:tc>
      </w:tr>
      <w:tr>
        <w:trPr>
          <w:trHeight w:val="432"/>
        </w:trPr>
        <w:tc>
          <w:tcPr>
            <w:tcW w:w="11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(e)</w:t>
            </w:r>
          </w:p>
        </w:tc>
        <w:tc>
          <w:tcPr>
            <w:tcW w:w="6000" w:type="dxa"/>
            <w:vAlign w:val="bottom"/>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892672106</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If this statement is filed pursuant to Sections 240.13d-1(b) or 240.13d-2(b) or (c), check whether the person filing is a:</w:t>
      </w:r>
    </w:p>
    <w:p>
      <w:pPr>
        <w:spacing w:after="0" w:line="225"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(a)</w:t>
        <w:tab/>
        <w:t>[  ]  Broker or dealer registered under Section 15 of the Act.</w:t>
      </w:r>
    </w:p>
    <w:p>
      <w:pPr>
        <w:spacing w:after="0" w:line="23" w:lineRule="exact"/>
        <w:rPr>
          <w:sz w:val="20"/>
          <w:szCs w:val="20"/>
          <w:color w:val="auto"/>
        </w:rPr>
      </w:pPr>
    </w:p>
    <w:p>
      <w:pPr>
        <w:ind w:left="1340" w:hanging="441"/>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spacing w:after="0" w:line="9"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(c)</w:t>
        <w:tab/>
        <w:t>[  ]  Insurance company as defined in Section 3(a)(19) of the Act.</w:t>
      </w:r>
    </w:p>
    <w:p>
      <w:pPr>
        <w:spacing w:after="0" w:line="9" w:lineRule="exact"/>
        <w:rPr>
          <w:sz w:val="20"/>
          <w:szCs w:val="20"/>
          <w:color w:val="auto"/>
        </w:rPr>
      </w:pPr>
    </w:p>
    <w:p>
      <w:pPr>
        <w:ind w:left="1700" w:right="4760" w:hanging="801"/>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w:t>
      </w:r>
    </w:p>
    <w:p>
      <w:pPr>
        <w:ind w:left="1340" w:hanging="441"/>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An investment adviser in accordance with Section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240.13d-1(b)(1)(ii)(E).</w:t>
      </w:r>
    </w:p>
    <w:p>
      <w:pPr>
        <w:spacing w:after="0" w:line="9"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8"/>
          <w:szCs w:val="18"/>
          <w:color w:val="auto"/>
        </w:rPr>
        <w:t>(f)</w:t>
        <w:tab/>
        <w:t>[  ] An employee benefit plan or endowment fund in accordance with</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Section 240.13d-1(b)(1)(ii)(F).</w:t>
      </w:r>
    </w:p>
    <w:p>
      <w:pPr>
        <w:spacing w:after="0" w:line="9" w:lineRule="exact"/>
        <w:rPr>
          <w:sz w:val="20"/>
          <w:szCs w:val="20"/>
          <w:color w:val="auto"/>
        </w:rPr>
      </w:pPr>
    </w:p>
    <w:p>
      <w:pPr>
        <w:ind w:left="1740" w:right="4900" w:hanging="841"/>
        <w:spacing w:after="0" w:line="250" w:lineRule="auto"/>
        <w:tabs>
          <w:tab w:leader="none" w:pos="1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Section 240.13d-1(b)(1)(ii)(G).</w:t>
      </w:r>
    </w:p>
    <w:tbl>
      <w:tblPr>
        <w:tblLayout w:type="fixed"/>
        <w:tblInd w:w="0" w:type="dxa"/>
        <w:tblCellMar>
          <w:top w:w="0" w:type="dxa"/>
          <w:left w:w="0" w:type="dxa"/>
          <w:bottom w:w="0" w:type="dxa"/>
          <w:right w:w="0" w:type="dxa"/>
        </w:tblCellMar>
      </w:tblPr>
      <w:tr>
        <w:trPr>
          <w:trHeight w:val="202"/>
        </w:trPr>
        <w:tc>
          <w:tcPr>
            <w:tcW w:w="1220" w:type="dxa"/>
            <w:vAlign w:val="bottom"/>
          </w:tcPr>
          <w:p>
            <w:pPr>
              <w:ind w:left="900"/>
              <w:spacing w:after="0" w:line="202" w:lineRule="exact"/>
              <w:rPr>
                <w:sz w:val="20"/>
                <w:szCs w:val="20"/>
                <w:color w:val="auto"/>
              </w:rPr>
            </w:pPr>
            <w:r>
              <w:rPr>
                <w:rFonts w:ascii="Arial" w:cs="Arial" w:eastAsia="Arial" w:hAnsi="Arial"/>
                <w:sz w:val="18"/>
                <w:szCs w:val="18"/>
                <w:color w:val="auto"/>
              </w:rPr>
              <w:t>(h)</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580" w:type="dxa"/>
            <w:vAlign w:val="bottom"/>
          </w:tcPr>
          <w:p>
            <w:pPr>
              <w:ind w:left="80"/>
              <w:spacing w:after="0" w:line="202" w:lineRule="exact"/>
              <w:rPr>
                <w:sz w:val="20"/>
                <w:szCs w:val="20"/>
                <w:color w:val="auto"/>
              </w:rPr>
            </w:pPr>
            <w:r>
              <w:rPr>
                <w:rFonts w:ascii="Arial" w:cs="Arial" w:eastAsia="Arial" w:hAnsi="Arial"/>
                <w:sz w:val="18"/>
                <w:szCs w:val="18"/>
                <w:color w:val="auto"/>
              </w:rPr>
              <w:t>A savings associations as defined in Section 3(b) of the Federal</w:t>
            </w: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Arial" w:cs="Arial" w:eastAsia="Arial" w:hAnsi="Arial"/>
                <w:sz w:val="18"/>
                <w:szCs w:val="18"/>
                <w:color w:val="auto"/>
              </w:rPr>
              <w:t>Deposit Insurance Act.</w:t>
            </w:r>
          </w:p>
        </w:tc>
      </w:tr>
      <w:tr>
        <w:trPr>
          <w:trHeight w:val="216"/>
        </w:trPr>
        <w:tc>
          <w:tcPr>
            <w:tcW w:w="1220" w:type="dxa"/>
            <w:vAlign w:val="bottom"/>
          </w:tcPr>
          <w:p>
            <w:pPr>
              <w:ind w:left="900"/>
              <w:spacing w:after="0"/>
              <w:rPr>
                <w:sz w:val="20"/>
                <w:szCs w:val="20"/>
                <w:color w:val="auto"/>
              </w:rPr>
            </w:pPr>
            <w:r>
              <w:rPr>
                <w:rFonts w:ascii="Arial" w:cs="Arial" w:eastAsia="Arial" w:hAnsi="Arial"/>
                <w:sz w:val="18"/>
                <w:szCs w:val="18"/>
                <w:color w:val="auto"/>
              </w:rPr>
              <w:t>(i)</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580" w:type="dxa"/>
            <w:vAlign w:val="bottom"/>
          </w:tcPr>
          <w:p>
            <w:pPr>
              <w:ind w:left="60"/>
              <w:spacing w:after="0"/>
              <w:rPr>
                <w:sz w:val="20"/>
                <w:szCs w:val="20"/>
                <w:color w:val="auto"/>
              </w:rPr>
            </w:pPr>
            <w:r>
              <w:rPr>
                <w:rFonts w:ascii="Arial" w:cs="Arial" w:eastAsia="Arial" w:hAnsi="Arial"/>
                <w:sz w:val="18"/>
                <w:szCs w:val="18"/>
                <w:color w:val="auto"/>
              </w:rPr>
              <w:t>A church plan that is excluded from the definition of an investment</w:t>
            </w:r>
          </w:p>
        </w:tc>
      </w:tr>
      <w:tr>
        <w:trPr>
          <w:trHeight w:val="216"/>
        </w:trPr>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Arial" w:cs="Arial" w:eastAsia="Arial" w:hAnsi="Arial"/>
                <w:sz w:val="18"/>
                <w:szCs w:val="18"/>
                <w:color w:val="auto"/>
              </w:rPr>
              <w:t>company under Section 3(c)(14) of the Investment Company Act</w:t>
            </w:r>
          </w:p>
        </w:tc>
      </w:tr>
      <w:tr>
        <w:trPr>
          <w:trHeight w:val="230"/>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80" w:type="dxa"/>
            <w:vAlign w:val="bottom"/>
          </w:tcPr>
          <w:p>
            <w:pPr>
              <w:ind w:left="80"/>
              <w:spacing w:after="0"/>
              <w:rPr>
                <w:sz w:val="20"/>
                <w:szCs w:val="20"/>
                <w:color w:val="auto"/>
              </w:rPr>
            </w:pPr>
            <w:r>
              <w:rPr>
                <w:rFonts w:ascii="Arial" w:cs="Arial" w:eastAsia="Arial" w:hAnsi="Arial"/>
                <w:sz w:val="18"/>
                <w:szCs w:val="18"/>
                <w:color w:val="auto"/>
              </w:rPr>
              <w:t>of 1940.</w:t>
            </w:r>
          </w:p>
        </w:tc>
      </w:tr>
      <w:tr>
        <w:trPr>
          <w:trHeight w:val="847"/>
        </w:trPr>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CUSIP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892672106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457" w:lineRule="exact"/>
        <w:rPr>
          <w:sz w:val="20"/>
          <w:szCs w:val="20"/>
          <w:color w:val="auto"/>
        </w:rPr>
      </w:pPr>
    </w:p>
    <w:p>
      <w:pPr>
        <w:sectPr>
          <w:pgSz w:w="11900" w:h="16838" w:orient="portrait"/>
          <w:cols w:equalWidth="0" w:num="2">
            <w:col w:w="5340" w:space="720"/>
            <w:col w:w="4900"/>
          </w:cols>
          <w:pgMar w:left="320" w:top="850" w:right="619" w:bottom="1440" w:gutter="0" w:footer="0" w:header="0"/>
        </w:sectPr>
      </w:pPr>
    </w:p>
    <w:p>
      <w:pPr>
        <w:spacing w:after="0" w:line="49"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18"/>
          <w:szCs w:val="18"/>
          <w:color w:val="auto"/>
        </w:rPr>
        <w:t>(j)</w:t>
        <w:tab/>
        <w:t>[X ]</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 non-U.S. institution in accordance with Section 240.13d-1(b)(1) (ii)(J).</w:t>
      </w:r>
    </w:p>
    <w:p>
      <w:pPr>
        <w:spacing w:after="0" w:line="222" w:lineRule="exact"/>
        <w:rPr>
          <w:sz w:val="20"/>
          <w:szCs w:val="20"/>
          <w:color w:val="auto"/>
        </w:rPr>
      </w:pPr>
    </w:p>
    <w:p>
      <w:pPr>
        <w:sectPr>
          <w:pgSz w:w="11900" w:h="16838" w:orient="portrait"/>
          <w:cols w:equalWidth="0" w:num="2">
            <w:col w:w="1880" w:space="140"/>
            <w:col w:w="8940"/>
          </w:cols>
          <w:pgMar w:left="320" w:top="850" w:right="619" w:bottom="1440" w:gutter="0" w:footer="0" w:header="0"/>
          <w:type w:val="continuous"/>
        </w:sectPr>
      </w:pPr>
    </w:p>
    <w:p>
      <w:pPr>
        <w:spacing w:after="0" w:line="25"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17"/>
          <w:szCs w:val="17"/>
          <w:color w:val="auto"/>
        </w:rPr>
        <w:t>(k)</w:t>
        <w:tab/>
        <w:t>[  ]  Group, in accordance with Section 240.13d-1(b)(1)(ii)(K).</w:t>
      </w:r>
    </w:p>
    <w:p>
      <w:pPr>
        <w:sectPr>
          <w:pgSz w:w="11900" w:h="16838" w:orient="portrait"/>
          <w:cols w:equalWidth="0" w:num="1">
            <w:col w:w="10960"/>
          </w:cols>
          <w:pgMar w:left="320" w:top="850" w:right="619" w:bottom="1440" w:gutter="0" w:footer="0" w:header="0"/>
          <w:type w:val="continuous"/>
        </w:sectPr>
      </w:pP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filing as a non-U.S. institution in accordance with Section 240.13d-1(b)(1)(ii)(J), please specify the type of institution: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Ownership Capital B.V. is an investment adviser organized under the laws of Netherlands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ind w:left="1340" w:right="7480" w:hanging="441"/>
        <w:spacing w:after="0" w:line="500"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5,723,939</w:t>
      </w:r>
    </w:p>
    <w:p>
      <w:pPr>
        <w:spacing w:after="0" w:line="1" w:lineRule="exact"/>
        <w:rPr>
          <w:rFonts w:ascii="Arial" w:cs="Arial" w:eastAsia="Arial" w:hAnsi="Arial"/>
          <w:sz w:val="18"/>
          <w:szCs w:val="18"/>
          <w:color w:val="auto"/>
        </w:rPr>
      </w:pPr>
    </w:p>
    <w:p>
      <w:pPr>
        <w:ind w:left="1340" w:hanging="441"/>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65" w:lineRule="exact"/>
        <w:rPr>
          <w:rFonts w:ascii="Arial" w:cs="Arial" w:eastAsia="Arial" w:hAnsi="Arial"/>
          <w:sz w:val="18"/>
          <w:szCs w:val="18"/>
          <w:color w:val="auto"/>
        </w:rPr>
      </w:pPr>
    </w:p>
    <w:p>
      <w:pPr>
        <w:ind w:left="1340" w:hanging="441"/>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840" w:right="6400" w:hanging="496"/>
        <w:spacing w:after="0" w:line="500" w:lineRule="auto"/>
        <w:tabs>
          <w:tab w:leader="none" w:pos="1749"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4,739,429</w:t>
      </w:r>
    </w:p>
    <w:p>
      <w:pPr>
        <w:spacing w:after="0" w:line="1" w:lineRule="exact"/>
        <w:rPr>
          <w:rFonts w:ascii="Arial" w:cs="Arial" w:eastAsia="Arial" w:hAnsi="Arial"/>
          <w:sz w:val="18"/>
          <w:szCs w:val="18"/>
          <w:color w:val="auto"/>
        </w:rPr>
      </w:pPr>
    </w:p>
    <w:p>
      <w:pPr>
        <w:ind w:left="1840" w:right="6340" w:hanging="496"/>
        <w:spacing w:after="0" w:line="500" w:lineRule="auto"/>
        <w:tabs>
          <w:tab w:leader="none" w:pos="17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 w:lineRule="exact"/>
        <w:rPr>
          <w:rFonts w:ascii="Arial" w:cs="Arial" w:eastAsia="Arial" w:hAnsi="Arial"/>
          <w:sz w:val="18"/>
          <w:szCs w:val="18"/>
          <w:color w:val="auto"/>
        </w:rPr>
      </w:pPr>
    </w:p>
    <w:p>
      <w:pPr>
        <w:ind w:left="1840" w:right="5620" w:hanging="496"/>
        <w:spacing w:after="0" w:line="500" w:lineRule="auto"/>
        <w:tabs>
          <w:tab w:leader="none" w:pos="180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5,723,939</w:t>
      </w:r>
    </w:p>
    <w:p>
      <w:pPr>
        <w:spacing w:after="0" w:line="1" w:lineRule="exact"/>
        <w:rPr>
          <w:rFonts w:ascii="Arial" w:cs="Arial" w:eastAsia="Arial" w:hAnsi="Arial"/>
          <w:sz w:val="18"/>
          <w:szCs w:val="18"/>
          <w:color w:val="auto"/>
        </w:rPr>
      </w:pPr>
    </w:p>
    <w:p>
      <w:pPr>
        <w:ind w:left="1840" w:right="5260" w:hanging="496"/>
        <w:spacing w:after="0" w:line="500" w:lineRule="auto"/>
        <w:tabs>
          <w:tab w:leader="none" w:pos="1794"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1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850" w:right="6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CUSIP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892672106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457" w:lineRule="exact"/>
        <w:rPr>
          <w:sz w:val="20"/>
          <w:szCs w:val="20"/>
          <w:color w:val="auto"/>
        </w:rPr>
      </w:pPr>
    </w:p>
    <w:p>
      <w:pPr>
        <w:sectPr>
          <w:pgSz w:w="11900" w:h="16838" w:orient="portrait"/>
          <w:cols w:equalWidth="0" w:num="2">
            <w:col w:w="5720" w:space="720"/>
            <w:col w:w="4780"/>
          </w:cols>
          <w:pgMar w:left="320" w:top="607" w:right="359" w:bottom="1440" w:gutter="0" w:footer="0" w:header="0"/>
        </w:sectPr>
      </w:pPr>
    </w:p>
    <w:p>
      <w:pPr>
        <w:spacing w:after="0" w:line="49" w:lineRule="exact"/>
        <w:rPr>
          <w:sz w:val="20"/>
          <w:szCs w:val="20"/>
          <w:color w:val="auto"/>
        </w:rPr>
      </w:pPr>
    </w:p>
    <w:p>
      <w:pPr>
        <w:ind w:left="900" w:right="180" w:hanging="566"/>
        <w:spacing w:after="0" w:line="277" w:lineRule="auto"/>
        <w:rPr>
          <w:sz w:val="20"/>
          <w:szCs w:val="20"/>
          <w:color w:val="auto"/>
        </w:rPr>
      </w:pPr>
      <w:r>
        <w:rPr>
          <w:rFonts w:ascii="Arial" w:cs="Arial" w:eastAsia="Arial" w:hAnsi="Arial"/>
          <w:sz w:val="18"/>
          <w:szCs w:val="18"/>
          <w:color w:val="auto"/>
        </w:rPr>
        <w:t>Item 7. Identification and Classification of Subsidiaries Which Acquired the Security Being Reported on by the Parent Holding Company or Control Person.</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Item</w:t>
        <w:tab/>
        <w:t>Certification: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w:t>
      </w:r>
    </w:p>
    <w:p>
      <w:pPr>
        <w:spacing w:after="0" w:line="211" w:lineRule="exact"/>
        <w:rPr>
          <w:sz w:val="20"/>
          <w:szCs w:val="20"/>
          <w:color w:val="auto"/>
        </w:rPr>
      </w:pPr>
    </w:p>
    <w:p>
      <w:pPr>
        <w:ind w:left="14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Date:  June 8, 2021</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Timmo Henseler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1757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Timmo Henseler</w:t>
      </w:r>
    </w:p>
    <w:p>
      <w:pPr>
        <w:spacing w:after="0" w:line="23"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 Legal &amp; Compliance</w:t>
      </w:r>
    </w:p>
    <w:sectPr>
      <w:pgSz w:w="11900" w:h="16838" w:orient="portrait"/>
      <w:cols w:equalWidth="0" w:num="1">
        <w:col w:w="11220"/>
      </w:cols>
      <w:pgMar w:left="320" w:top="60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2021-06-08T10:12:23Z</dcterms:created>
  <dcterms:modified xsi:type="dcterms:W3CDTF">2021-06-08T10:12:23Z</dcterms:modified>
</cp:coreProperties>
</file>