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 2023</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February 2, 2023, Tradeweb Markets Inc. (the “Company”) issued a press release, a copy of which is furnished as Exhibit 99.1 hereto and incorporated herein by reference, announcing financial results for the quarter and full year ended December 31, 2022.</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70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Tradeweb Markets Inc., dated February 2, 2023.</w:t>
            </w:r>
          </w:p>
        </w:tc>
        <w:tc>
          <w:tcPr>
            <w:tcW w:w="4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2023</w:t>
            </w: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ind w:left="5500"/>
        <w:spacing w:after="0"/>
        <w:tabs>
          <w:tab w:leader="none" w:pos="8120" w:val="left"/>
        </w:tabs>
        <w:rPr>
          <w:sz w:val="20"/>
          <w:szCs w:val="20"/>
          <w:color w:val="auto"/>
        </w:rPr>
      </w:pPr>
      <w:r>
        <w:rPr>
          <w:rFonts w:ascii="Arial" w:cs="Arial" w:eastAsia="Arial" w:hAnsi="Arial"/>
          <w:sz w:val="16"/>
          <w:szCs w:val="16"/>
          <w:b w:val="1"/>
          <w:bCs w:val="1"/>
          <w:color w:val="00346B"/>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1" w:lineRule="exact"/>
        <w:rPr>
          <w:sz w:val="20"/>
          <w:szCs w:val="20"/>
          <w:color w:val="auto"/>
        </w:rPr>
      </w:pPr>
    </w:p>
    <w:p>
      <w:pPr>
        <w:ind w:left="5500"/>
        <w:spacing w:after="0"/>
        <w:tabs>
          <w:tab w:leader="none" w:pos="8120" w:val="left"/>
        </w:tabs>
        <w:rPr>
          <w:sz w:val="20"/>
          <w:szCs w:val="20"/>
          <w:color w:val="auto"/>
        </w:rPr>
      </w:pPr>
      <w:r>
        <w:rPr>
          <w:rFonts w:ascii="Arial" w:cs="Arial" w:eastAsia="Arial" w:hAnsi="Arial"/>
          <w:sz w:val="16"/>
          <w:szCs w:val="16"/>
          <w:color w:val="auto"/>
        </w:rPr>
        <w:t>Sameer Murukutla + 1 646 767</w:t>
      </w:r>
      <w:r>
        <w:rPr>
          <w:sz w:val="20"/>
          <w:szCs w:val="20"/>
          <w:color w:val="auto"/>
        </w:rPr>
        <w:tab/>
      </w:r>
      <w:r>
        <w:rPr>
          <w:rFonts w:ascii="Arial" w:cs="Arial" w:eastAsia="Arial" w:hAnsi="Arial"/>
          <w:sz w:val="16"/>
          <w:szCs w:val="16"/>
          <w:color w:val="auto"/>
        </w:rPr>
        <w:t>Daniel Noonan + 1 646 767</w:t>
      </w:r>
    </w:p>
    <w:p>
      <w:pPr>
        <w:spacing w:after="0" w:line="15" w:lineRule="exact"/>
        <w:rPr>
          <w:sz w:val="20"/>
          <w:szCs w:val="20"/>
          <w:color w:val="auto"/>
        </w:rPr>
      </w:pPr>
    </w:p>
    <w:p>
      <w:pPr>
        <w:ind w:left="5500"/>
        <w:spacing w:after="0"/>
        <w:tabs>
          <w:tab w:leader="none" w:pos="8120" w:val="left"/>
        </w:tabs>
        <w:rPr>
          <w:sz w:val="20"/>
          <w:szCs w:val="20"/>
          <w:color w:val="auto"/>
        </w:rPr>
      </w:pPr>
      <w:r>
        <w:rPr>
          <w:rFonts w:ascii="Arial" w:cs="Arial" w:eastAsia="Arial" w:hAnsi="Arial"/>
          <w:sz w:val="16"/>
          <w:szCs w:val="16"/>
          <w:color w:val="auto"/>
        </w:rPr>
        <w:t>4864</w:t>
      </w:r>
      <w:r>
        <w:rPr>
          <w:sz w:val="20"/>
          <w:szCs w:val="20"/>
          <w:color w:val="auto"/>
        </w:rPr>
        <w:tab/>
      </w:r>
      <w:r>
        <w:rPr>
          <w:rFonts w:ascii="Arial" w:cs="Arial" w:eastAsia="Arial" w:hAnsi="Arial"/>
          <w:sz w:val="16"/>
          <w:szCs w:val="16"/>
          <w:color w:val="auto"/>
        </w:rPr>
        <w:t>4677</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Sameer.Murukutla@Tradeweb.com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FOURTH QUARTER AND FULL YEAR 2022 FINANCIAL RESULTS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346B"/>
        </w:rPr>
        <w:t>QUARTERLY CASH DIVIDEND RAISED BY 12.5% to $0.09 PER SHARE</w:t>
      </w:r>
    </w:p>
    <w:p>
      <w:pPr>
        <w:spacing w:after="0" w:line="207"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b w:val="1"/>
          <w:bCs w:val="1"/>
          <w:color w:val="auto"/>
        </w:rPr>
        <w:t xml:space="preserve">New York, February 2, 2023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fourth quarter and full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64770</wp:posOffset>
            </wp:positionV>
            <wp:extent cx="3103245" cy="2743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03245" cy="2743200"/>
                    </a:xfrm>
                    <a:prstGeom prst="rect">
                      <a:avLst/>
                    </a:prstGeom>
                    <a:noFill/>
                  </pic:spPr>
                </pic:pic>
              </a:graphicData>
            </a:graphic>
          </wp:anchor>
        </w:drawing>
      </w:r>
    </w:p>
    <w:p>
      <w:pPr>
        <w:sectPr>
          <w:pgSz w:w="11900" w:h="16838" w:orient="portrait"/>
          <w:cols w:equalWidth="0" w:num="1">
            <w:col w:w="10980"/>
          </w:cols>
          <w:pgMar w:left="320" w:top="274" w:right="599" w:bottom="1440" w:gutter="0" w:footer="0" w:header="0"/>
        </w:sectPr>
      </w:pPr>
    </w:p>
    <w:p>
      <w:pPr>
        <w:spacing w:after="0" w:line="115" w:lineRule="exact"/>
        <w:rPr>
          <w:sz w:val="20"/>
          <w:szCs w:val="20"/>
          <w:color w:val="auto"/>
        </w:rPr>
      </w:pPr>
    </w:p>
    <w:p>
      <w:pPr>
        <w:ind w:left="20" w:right="40"/>
        <w:spacing w:after="0" w:line="286" w:lineRule="auto"/>
        <w:rPr>
          <w:sz w:val="20"/>
          <w:szCs w:val="20"/>
          <w:color w:val="auto"/>
        </w:rPr>
      </w:pPr>
      <w:r>
        <w:rPr>
          <w:rFonts w:ascii="Arial" w:cs="Arial" w:eastAsia="Arial" w:hAnsi="Arial"/>
          <w:sz w:val="16"/>
          <w:szCs w:val="16"/>
          <w:b w:val="1"/>
          <w:bCs w:val="1"/>
          <w:color w:val="auto"/>
        </w:rPr>
        <w:t xml:space="preserve">$293.0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5.8% </w:t>
      </w:r>
      <w:r>
        <w:rPr>
          <w:rFonts w:ascii="Arial" w:cs="Arial" w:eastAsia="Arial" w:hAnsi="Arial"/>
          <w:sz w:val="16"/>
          <w:szCs w:val="16"/>
          <w:color w:val="auto"/>
        </w:rPr>
        <w:t>(</w:t>
      </w:r>
      <w:r>
        <w:rPr>
          <w:rFonts w:ascii="Arial" w:cs="Arial" w:eastAsia="Arial" w:hAnsi="Arial"/>
          <w:sz w:val="16"/>
          <w:szCs w:val="16"/>
          <w:b w:val="1"/>
          <w:bCs w:val="1"/>
          <w:color w:val="auto"/>
        </w:rPr>
        <w:t xml:space="preserve">9.3% </w:t>
      </w:r>
      <w:r>
        <w:rPr>
          <w:rFonts w:ascii="Arial" w:cs="Arial" w:eastAsia="Arial" w:hAnsi="Arial"/>
          <w:sz w:val="16"/>
          <w:szCs w:val="16"/>
          <w:color w:val="auto"/>
        </w:rPr>
        <w:t>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compared to prior year period</w:t>
      </w:r>
    </w:p>
    <w:p>
      <w:pPr>
        <w:spacing w:after="0" w:line="61" w:lineRule="exact"/>
        <w:rPr>
          <w:sz w:val="20"/>
          <w:szCs w:val="20"/>
          <w:color w:val="auto"/>
        </w:rPr>
      </w:pPr>
    </w:p>
    <w:p>
      <w:pPr>
        <w:ind w:left="20"/>
        <w:spacing w:after="0" w:line="263" w:lineRule="auto"/>
        <w:rPr>
          <w:sz w:val="20"/>
          <w:szCs w:val="20"/>
          <w:color w:val="auto"/>
        </w:rPr>
      </w:pPr>
      <w:r>
        <w:rPr>
          <w:rFonts w:ascii="Arial" w:cs="Arial" w:eastAsia="Arial" w:hAnsi="Arial"/>
          <w:sz w:val="16"/>
          <w:szCs w:val="16"/>
          <w:b w:val="1"/>
          <w:bCs w:val="1"/>
          <w:color w:val="auto"/>
        </w:rPr>
        <w:t xml:space="preserve">$1.1 trillion </w:t>
      </w:r>
      <w:r>
        <w:rPr>
          <w:rFonts w:ascii="Arial" w:cs="Arial" w:eastAsia="Arial" w:hAnsi="Arial"/>
          <w:sz w:val="16"/>
          <w:szCs w:val="16"/>
          <w:color w:val="auto"/>
        </w:rPr>
        <w:t>average daily volume (“ADV”) for the quarter, a decrease of</w:t>
      </w:r>
      <w:r>
        <w:rPr>
          <w:rFonts w:ascii="Arial" w:cs="Arial" w:eastAsia="Arial" w:hAnsi="Arial"/>
          <w:sz w:val="16"/>
          <w:szCs w:val="16"/>
          <w:b w:val="1"/>
          <w:bCs w:val="1"/>
          <w:color w:val="auto"/>
        </w:rPr>
        <w:t xml:space="preserve"> 4.1% </w:t>
      </w:r>
      <w:r>
        <w:rPr>
          <w:rFonts w:ascii="Arial" w:cs="Arial" w:eastAsia="Arial" w:hAnsi="Arial"/>
          <w:sz w:val="16"/>
          <w:szCs w:val="16"/>
          <w:color w:val="auto"/>
        </w:rPr>
        <w:t xml:space="preserve">compared to prior year period; quarterly ADV records in fully electronic U.S. High Grade credit, U.S. credit Tradeweb AllTrade®, municipal bonds, retail U.S. government bonds, retail U.S. credit and retail money markets, U.S. institutional ETFs and sessions-based trading across global cash bonds. Tradeweb captured a record </w:t>
      </w:r>
      <w:r>
        <w:rPr>
          <w:rFonts w:ascii="Arial" w:cs="Arial" w:eastAsia="Arial" w:hAnsi="Arial"/>
          <w:sz w:val="16"/>
          <w:szCs w:val="16"/>
          <w:b w:val="1"/>
          <w:bCs w:val="1"/>
          <w:color w:val="auto"/>
        </w:rPr>
        <w:t>14.4</w:t>
      </w:r>
      <w:r>
        <w:rPr>
          <w:rFonts w:ascii="Arial" w:cs="Arial" w:eastAsia="Arial" w:hAnsi="Arial"/>
          <w:sz w:val="16"/>
          <w:szCs w:val="16"/>
          <w:color w:val="auto"/>
        </w:rPr>
        <w:t>% share of fully electronic U.S. High Grade TRACE</w:t>
      </w:r>
    </w:p>
    <w:p>
      <w:pPr>
        <w:spacing w:after="0" w:line="59" w:lineRule="exact"/>
        <w:rPr>
          <w:sz w:val="20"/>
          <w:szCs w:val="20"/>
          <w:color w:val="auto"/>
        </w:rPr>
      </w:pPr>
    </w:p>
    <w:p>
      <w:pPr>
        <w:ind w:left="20" w:right="100"/>
        <w:spacing w:after="0" w:line="269" w:lineRule="auto"/>
        <w:rPr>
          <w:sz w:val="20"/>
          <w:szCs w:val="20"/>
          <w:color w:val="auto"/>
        </w:rPr>
      </w:pPr>
      <w:r>
        <w:rPr>
          <w:rFonts w:ascii="Arial" w:cs="Arial" w:eastAsia="Arial" w:hAnsi="Arial"/>
          <w:sz w:val="16"/>
          <w:szCs w:val="16"/>
          <w:b w:val="1"/>
          <w:bCs w:val="1"/>
          <w:color w:val="auto"/>
        </w:rPr>
        <w:t xml:space="preserve">$99.0 million </w:t>
      </w:r>
      <w:r>
        <w:rPr>
          <w:rFonts w:ascii="Arial" w:cs="Arial" w:eastAsia="Arial" w:hAnsi="Arial"/>
          <w:sz w:val="16"/>
          <w:szCs w:val="16"/>
          <w:color w:val="auto"/>
        </w:rPr>
        <w:t>net income for the quarter increased by</w:t>
      </w:r>
      <w:r>
        <w:rPr>
          <w:rFonts w:ascii="Arial" w:cs="Arial" w:eastAsia="Arial" w:hAnsi="Arial"/>
          <w:sz w:val="16"/>
          <w:szCs w:val="16"/>
          <w:b w:val="1"/>
          <w:bCs w:val="1"/>
          <w:color w:val="auto"/>
        </w:rPr>
        <w:t xml:space="preserve"> 65.0% </w:t>
      </w:r>
      <w:r>
        <w:rPr>
          <w:rFonts w:ascii="Arial" w:cs="Arial" w:eastAsia="Arial" w:hAnsi="Arial"/>
          <w:sz w:val="16"/>
          <w:szCs w:val="16"/>
          <w:color w:val="auto"/>
        </w:rPr>
        <w:t>from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period primarily due to lower tax expense related to changes in our deferred tax assets and an increase in interest income. </w:t>
      </w:r>
      <w:r>
        <w:rPr>
          <w:rFonts w:ascii="Arial" w:cs="Arial" w:eastAsia="Arial" w:hAnsi="Arial"/>
          <w:sz w:val="16"/>
          <w:szCs w:val="16"/>
          <w:b w:val="1"/>
          <w:bCs w:val="1"/>
          <w:color w:val="auto"/>
        </w:rPr>
        <w:t>$116.9 million</w:t>
      </w:r>
      <w:r>
        <w:rPr>
          <w:rFonts w:ascii="Arial" w:cs="Arial" w:eastAsia="Arial" w:hAnsi="Arial"/>
          <w:sz w:val="16"/>
          <w:szCs w:val="16"/>
          <w:color w:val="auto"/>
        </w:rPr>
        <w:t xml:space="preserve"> adjusted net income increased by </w:t>
      </w:r>
      <w:r>
        <w:rPr>
          <w:rFonts w:ascii="Arial" w:cs="Arial" w:eastAsia="Arial" w:hAnsi="Arial"/>
          <w:sz w:val="16"/>
          <w:szCs w:val="16"/>
          <w:b w:val="1"/>
          <w:bCs w:val="1"/>
          <w:color w:val="auto"/>
        </w:rPr>
        <w:t>17.2%</w:t>
      </w:r>
      <w:r>
        <w:rPr>
          <w:rFonts w:ascii="Arial" w:cs="Arial" w:eastAsia="Arial" w:hAnsi="Arial"/>
          <w:sz w:val="16"/>
          <w:szCs w:val="16"/>
          <w:color w:val="auto"/>
        </w:rPr>
        <w:t xml:space="preserve"> from prior year period</w:t>
      </w:r>
    </w:p>
    <w:p>
      <w:pPr>
        <w:spacing w:after="0" w:line="66" w:lineRule="exact"/>
        <w:rPr>
          <w:sz w:val="20"/>
          <w:szCs w:val="20"/>
          <w:color w:val="auto"/>
        </w:rPr>
      </w:pPr>
    </w:p>
    <w:p>
      <w:pPr>
        <w:ind w:left="20" w:right="260"/>
        <w:spacing w:after="0" w:line="286" w:lineRule="auto"/>
        <w:rPr>
          <w:sz w:val="20"/>
          <w:szCs w:val="20"/>
          <w:color w:val="auto"/>
        </w:rPr>
      </w:pPr>
      <w:r>
        <w:rPr>
          <w:rFonts w:ascii="Arial" w:cs="Arial" w:eastAsia="Arial" w:hAnsi="Arial"/>
          <w:sz w:val="16"/>
          <w:szCs w:val="16"/>
          <w:b w:val="1"/>
          <w:bCs w:val="1"/>
          <w:color w:val="auto"/>
        </w:rPr>
        <w:t xml:space="preserve">52.8% </w:t>
      </w:r>
      <w:r>
        <w:rPr>
          <w:rFonts w:ascii="Arial" w:cs="Arial" w:eastAsia="Arial" w:hAnsi="Arial"/>
          <w:sz w:val="16"/>
          <w:szCs w:val="16"/>
          <w:color w:val="auto"/>
        </w:rPr>
        <w:t>adjusted EBITDA margin or</w:t>
      </w:r>
      <w:r>
        <w:rPr>
          <w:rFonts w:ascii="Arial" w:cs="Arial" w:eastAsia="Arial" w:hAnsi="Arial"/>
          <w:sz w:val="16"/>
          <w:szCs w:val="16"/>
          <w:b w:val="1"/>
          <w:bCs w:val="1"/>
          <w:color w:val="auto"/>
        </w:rPr>
        <w:t xml:space="preserve"> $154.7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50.6% or $140.1 million respectively in prior year period</w:t>
      </w:r>
    </w:p>
    <w:p>
      <w:pPr>
        <w:spacing w:after="0" w:line="34" w:lineRule="exact"/>
        <w:rPr>
          <w:sz w:val="20"/>
          <w:szCs w:val="20"/>
          <w:color w:val="auto"/>
        </w:rPr>
      </w:pPr>
    </w:p>
    <w:p>
      <w:pPr>
        <w:ind w:left="20" w:right="500"/>
        <w:spacing w:after="0" w:line="286" w:lineRule="auto"/>
        <w:rPr>
          <w:sz w:val="20"/>
          <w:szCs w:val="20"/>
          <w:color w:val="auto"/>
        </w:rPr>
      </w:pPr>
      <w:r>
        <w:rPr>
          <w:rFonts w:ascii="Arial" w:cs="Arial" w:eastAsia="Arial" w:hAnsi="Arial"/>
          <w:sz w:val="16"/>
          <w:szCs w:val="16"/>
          <w:b w:val="1"/>
          <w:bCs w:val="1"/>
          <w:color w:val="auto"/>
        </w:rPr>
        <w:t xml:space="preserve">$0.42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$0.49 </w:t>
      </w:r>
      <w:r>
        <w:rPr>
          <w:rFonts w:ascii="Arial" w:cs="Arial" w:eastAsia="Arial" w:hAnsi="Arial"/>
          <w:sz w:val="16"/>
          <w:szCs w:val="16"/>
          <w:color w:val="auto"/>
        </w:rPr>
        <w:t>adjusted diluted earnings per share for the quarter</w:t>
      </w:r>
    </w:p>
    <w:p>
      <w:pPr>
        <w:spacing w:after="0" w:line="34" w:lineRule="exact"/>
        <w:rPr>
          <w:sz w:val="20"/>
          <w:szCs w:val="20"/>
          <w:color w:val="auto"/>
        </w:rPr>
      </w:pPr>
    </w:p>
    <w:p>
      <w:pPr>
        <w:ind w:left="20" w:right="220"/>
        <w:spacing w:after="0" w:line="286" w:lineRule="auto"/>
        <w:rPr>
          <w:sz w:val="20"/>
          <w:szCs w:val="20"/>
          <w:color w:val="auto"/>
        </w:rPr>
      </w:pPr>
      <w:r>
        <w:rPr>
          <w:rFonts w:ascii="Arial" w:cs="Arial" w:eastAsia="Arial" w:hAnsi="Arial"/>
          <w:sz w:val="16"/>
          <w:szCs w:val="16"/>
          <w:b w:val="1"/>
          <w:bCs w:val="1"/>
          <w:color w:val="auto"/>
        </w:rPr>
        <w:t xml:space="preserve">$0.09 </w:t>
      </w:r>
      <w:r>
        <w:rPr>
          <w:rFonts w:ascii="Arial" w:cs="Arial" w:eastAsia="Arial" w:hAnsi="Arial"/>
          <w:sz w:val="16"/>
          <w:szCs w:val="16"/>
          <w:color w:val="auto"/>
        </w:rPr>
        <w:t>per share quarterly cash dividend declared, a</w:t>
      </w:r>
      <w:r>
        <w:rPr>
          <w:rFonts w:ascii="Arial" w:cs="Arial" w:eastAsia="Arial" w:hAnsi="Arial"/>
          <w:sz w:val="16"/>
          <w:szCs w:val="16"/>
          <w:b w:val="1"/>
          <w:bCs w:val="1"/>
          <w:color w:val="auto"/>
        </w:rPr>
        <w:t xml:space="preserve"> 12.5% </w:t>
      </w:r>
      <w:r>
        <w:rPr>
          <w:rFonts w:ascii="Arial" w:cs="Arial" w:eastAsia="Arial" w:hAnsi="Arial"/>
          <w:sz w:val="16"/>
          <w:szCs w:val="16"/>
          <w:color w:val="auto"/>
        </w:rPr>
        <w:t>per share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from prior year; $34.0 million of shares repurchased in the fourth quarter</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97F"/>
        </w:rPr>
        <w:t>Billy Hult, CEO of Tradeweb:</w:t>
      </w:r>
    </w:p>
    <w:p>
      <w:pPr>
        <w:spacing w:after="0" w:line="95"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“Tradeweb reported its 23rd consecutive year of revenue growth in 2022. The breadth of our business played an important role in these results, as we helped clients navigate interest rate volatility, geopolitical risk, a strong U.S. dollar and fear of a global recession. While this environment created some headwinds for rates trading in the fourth quarter, improved liquidity in December helped drive year-over-year ADV growth for the month in government bonds and swaps. Continued momentum in credit and equities contributed to our overall growth story, accounting for 61% and 29% of our fourth quarter revenue growth, respectively. In December, we announced an exciting partnership with BlackRock’s Aladdin to facilitate further electronification of credit trading.</w:t>
      </w:r>
    </w:p>
    <w:p>
      <w:pPr>
        <w:spacing w:after="0" w:line="204" w:lineRule="exact"/>
        <w:rPr>
          <w:sz w:val="20"/>
          <w:szCs w:val="20"/>
          <w:color w:val="auto"/>
        </w:rPr>
      </w:pPr>
    </w:p>
    <w:p>
      <w:pPr>
        <w:ind w:left="20" w:right="80"/>
        <w:spacing w:after="0" w:line="239" w:lineRule="auto"/>
        <w:rPr>
          <w:sz w:val="20"/>
          <w:szCs w:val="20"/>
          <w:color w:val="auto"/>
        </w:rPr>
      </w:pPr>
      <w:r>
        <w:rPr>
          <w:rFonts w:ascii="Arial" w:cs="Arial" w:eastAsia="Arial" w:hAnsi="Arial"/>
          <w:sz w:val="16"/>
          <w:szCs w:val="16"/>
          <w:color w:val="auto"/>
        </w:rPr>
        <w:t>I am thrilled to take the helm as CEO and to welcome Tom Pluta as Tradeweb’s new President. Our leadership team and</w:t>
      </w:r>
    </w:p>
    <w:p>
      <w:pPr>
        <w:spacing w:after="0" w:line="1" w:lineRule="exact"/>
        <w:rPr>
          <w:sz w:val="20"/>
          <w:szCs w:val="20"/>
          <w:color w:val="auto"/>
        </w:rPr>
      </w:pPr>
    </w:p>
    <w:p>
      <w:pPr>
        <w:ind w:left="20" w:right="260"/>
        <w:spacing w:after="0" w:line="220" w:lineRule="auto"/>
        <w:rPr>
          <w:sz w:val="20"/>
          <w:szCs w:val="20"/>
          <w:color w:val="auto"/>
        </w:rPr>
      </w:pPr>
      <w:r>
        <w:rPr>
          <w:rFonts w:ascii="Arial" w:cs="Arial" w:eastAsia="Arial" w:hAnsi="Arial"/>
          <w:sz w:val="16"/>
          <w:szCs w:val="16"/>
          <w:color w:val="auto"/>
        </w:rPr>
        <w:t>employees are energized for the next wave of growth, and we believe we're well positioned to continue to drive growth and</w:t>
      </w:r>
    </w:p>
    <w:p>
      <w:pPr>
        <w:ind w:left="20"/>
        <w:spacing w:after="0"/>
        <w:rPr>
          <w:sz w:val="20"/>
          <w:szCs w:val="20"/>
          <w:color w:val="auto"/>
        </w:rPr>
      </w:pPr>
      <w:r>
        <w:rPr>
          <w:rFonts w:ascii="Arial" w:cs="Arial" w:eastAsia="Arial" w:hAnsi="Arial"/>
          <w:sz w:val="16"/>
          <w:szCs w:val="16"/>
          <w:color w:val="auto"/>
        </w:rPr>
        <w:t>increase market share.”</w:t>
      </w:r>
    </w:p>
    <w:p>
      <w:pPr>
        <w:spacing w:after="0" w:line="222" w:lineRule="exact"/>
        <w:rPr>
          <w:sz w:val="20"/>
          <w:szCs w:val="20"/>
          <w:color w:val="auto"/>
        </w:rPr>
      </w:pPr>
    </w:p>
    <w:p>
      <w:pPr>
        <w:sectPr>
          <w:pgSz w:w="11900" w:h="16838" w:orient="portrait"/>
          <w:cols w:equalWidth="0" w:num="2">
            <w:col w:w="5820" w:space="460"/>
            <w:col w:w="4700"/>
          </w:cols>
          <w:pgMar w:left="320" w:top="274" w:right="599" w:bottom="1440" w:gutter="0" w:footer="0" w:header="0"/>
          <w:type w:val="continuous"/>
        </w:sect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6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8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940" w:type="dxa"/>
            <w:vAlign w:val="bottom"/>
            <w:gridSpan w:val="2"/>
            <w:shd w:val="clear" w:color="auto" w:fill="083566"/>
          </w:tcPr>
          <w:p>
            <w:pPr>
              <w:ind w:left="120"/>
              <w:spacing w:after="0"/>
              <w:rPr>
                <w:sz w:val="20"/>
                <w:szCs w:val="20"/>
                <w:color w:val="auto"/>
              </w:rPr>
            </w:pPr>
            <w:r>
              <w:rPr>
                <w:rFonts w:ascii="Arial" w:cs="Arial" w:eastAsia="Arial" w:hAnsi="Arial"/>
                <w:sz w:val="16"/>
                <w:szCs w:val="16"/>
                <w:b w:val="1"/>
                <w:bCs w:val="1"/>
                <w:color w:val="FFFFFF"/>
              </w:rPr>
              <w:t>Constant</w:t>
            </w:r>
          </w:p>
        </w:tc>
        <w:tc>
          <w:tcPr>
            <w:tcW w:w="200" w:type="dxa"/>
            <w:vAlign w:val="bottom"/>
          </w:tcPr>
          <w:p>
            <w:pPr>
              <w:spacing w:after="0"/>
              <w:rPr>
                <w:sz w:val="17"/>
                <w:szCs w:val="17"/>
                <w:color w:val="auto"/>
              </w:rPr>
            </w:pPr>
          </w:p>
        </w:tc>
        <w:tc>
          <w:tcPr>
            <w:tcW w:w="118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160" w:type="dxa"/>
            <w:vAlign w:val="bottom"/>
            <w:shd w:val="clear" w:color="auto" w:fill="083566"/>
          </w:tcPr>
          <w:p>
            <w:pPr>
              <w:spacing w:after="0"/>
              <w:rPr>
                <w:sz w:val="17"/>
                <w:szCs w:val="17"/>
                <w:color w:val="auto"/>
              </w:rPr>
            </w:pPr>
          </w:p>
        </w:tc>
        <w:tc>
          <w:tcPr>
            <w:tcW w:w="62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800" w:type="dxa"/>
            <w:vAlign w:val="bottom"/>
            <w:shd w:val="clear" w:color="auto" w:fill="083566"/>
          </w:tcPr>
          <w:p>
            <w:pPr>
              <w:spacing w:after="0"/>
              <w:rPr>
                <w:sz w:val="17"/>
                <w:szCs w:val="17"/>
                <w:color w:val="auto"/>
              </w:rPr>
            </w:pPr>
          </w:p>
        </w:tc>
        <w:tc>
          <w:tcPr>
            <w:tcW w:w="92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940" w:type="dxa"/>
            <w:vAlign w:val="bottom"/>
            <w:gridSpan w:val="2"/>
            <w:shd w:val="clear" w:color="auto" w:fill="083566"/>
          </w:tcPr>
          <w:p>
            <w:pPr>
              <w:ind w:left="120"/>
              <w:spacing w:after="0"/>
              <w:rPr>
                <w:sz w:val="20"/>
                <w:szCs w:val="20"/>
                <w:color w:val="auto"/>
              </w:rPr>
            </w:pPr>
            <w:r>
              <w:rPr>
                <w:rFonts w:ascii="Arial" w:cs="Arial" w:eastAsia="Arial" w:hAnsi="Arial"/>
                <w:sz w:val="16"/>
                <w:szCs w:val="16"/>
                <w:b w:val="1"/>
                <w:bCs w:val="1"/>
                <w:color w:val="FFFFFF"/>
              </w:rPr>
              <w:t>Currency</w:t>
            </w:r>
          </w:p>
        </w:tc>
        <w:tc>
          <w:tcPr>
            <w:tcW w:w="200" w:type="dxa"/>
            <w:vAlign w:val="bottom"/>
          </w:tcPr>
          <w:p>
            <w:pPr>
              <w:spacing w:after="0"/>
              <w:rPr>
                <w:sz w:val="16"/>
                <w:szCs w:val="16"/>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160" w:type="dxa"/>
            <w:vAlign w:val="bottom"/>
            <w:shd w:val="clear" w:color="auto" w:fill="083566"/>
          </w:tcPr>
          <w:p>
            <w:pPr>
              <w:spacing w:after="0"/>
              <w:rPr>
                <w:sz w:val="16"/>
                <w:szCs w:val="16"/>
                <w:color w:val="auto"/>
              </w:rPr>
            </w:pPr>
          </w:p>
        </w:tc>
        <w:tc>
          <w:tcPr>
            <w:tcW w:w="62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800" w:type="dxa"/>
            <w:vAlign w:val="bottom"/>
            <w:shd w:val="clear" w:color="auto" w:fill="083566"/>
          </w:tcPr>
          <w:p>
            <w:pPr>
              <w:spacing w:after="0"/>
              <w:rPr>
                <w:sz w:val="16"/>
                <w:szCs w:val="16"/>
                <w:color w:val="auto"/>
              </w:rPr>
            </w:pPr>
          </w:p>
        </w:tc>
        <w:tc>
          <w:tcPr>
            <w:tcW w:w="92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4Q22</w:t>
            </w:r>
          </w:p>
        </w:tc>
        <w:tc>
          <w:tcPr>
            <w:tcW w:w="200" w:type="dxa"/>
            <w:vAlign w:val="bottom"/>
            <w:shd w:val="clear" w:color="auto" w:fill="083566"/>
          </w:tcPr>
          <w:p>
            <w:pPr>
              <w:spacing w:after="0"/>
              <w:rPr>
                <w:sz w:val="22"/>
                <w:szCs w:val="22"/>
                <w:color w:val="auto"/>
              </w:rPr>
            </w:pPr>
          </w:p>
        </w:tc>
        <w:tc>
          <w:tcPr>
            <w:tcW w:w="98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4Q21</w:t>
            </w:r>
          </w:p>
        </w:tc>
        <w:tc>
          <w:tcPr>
            <w:tcW w:w="88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ind w:left="100"/>
              <w:spacing w:after="0"/>
              <w:rPr>
                <w:sz w:val="20"/>
                <w:szCs w:val="20"/>
                <w:color w:val="auto"/>
              </w:rPr>
            </w:pPr>
            <w:r>
              <w:rPr>
                <w:rFonts w:ascii="Arial" w:cs="Arial" w:eastAsia="Arial" w:hAnsi="Arial"/>
                <w:sz w:val="16"/>
                <w:szCs w:val="16"/>
                <w:b w:val="1"/>
                <w:bCs w:val="1"/>
                <w:color w:val="FFFFFF"/>
              </w:rPr>
              <w:t xml:space="preserve">Growth </w:t>
            </w:r>
            <w:r>
              <w:rPr>
                <w:rFonts w:ascii="Arial" w:cs="Arial" w:eastAsia="Arial" w:hAnsi="Arial"/>
                <w:sz w:val="21"/>
                <w:szCs w:val="21"/>
                <w:b w:val="1"/>
                <w:bCs w:val="1"/>
                <w:color w:val="FFFFFF"/>
                <w:vertAlign w:val="superscript"/>
              </w:rPr>
              <w:t>(1)</w:t>
            </w:r>
          </w:p>
        </w:tc>
        <w:tc>
          <w:tcPr>
            <w:tcW w:w="200" w:type="dxa"/>
            <w:vAlign w:val="bottom"/>
          </w:tcPr>
          <w:p>
            <w:pPr>
              <w:spacing w:after="0"/>
              <w:rPr>
                <w:sz w:val="22"/>
                <w:szCs w:val="22"/>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2"/>
                <w:szCs w:val="22"/>
                <w:color w:val="auto"/>
              </w:rPr>
            </w:pPr>
          </w:p>
        </w:tc>
        <w:tc>
          <w:tcPr>
            <w:tcW w:w="160" w:type="dxa"/>
            <w:vAlign w:val="bottom"/>
            <w:shd w:val="clear" w:color="auto" w:fill="083566"/>
          </w:tcPr>
          <w:p>
            <w:pPr>
              <w:spacing w:after="0"/>
              <w:rPr>
                <w:sz w:val="22"/>
                <w:szCs w:val="22"/>
                <w:color w:val="auto"/>
              </w:rPr>
            </w:pPr>
          </w:p>
        </w:tc>
        <w:tc>
          <w:tcPr>
            <w:tcW w:w="620" w:type="dxa"/>
            <w:vAlign w:val="bottom"/>
            <w:shd w:val="clear" w:color="auto" w:fill="083566"/>
          </w:tcPr>
          <w:p>
            <w:pPr>
              <w:spacing w:after="0"/>
              <w:rPr>
                <w:sz w:val="22"/>
                <w:szCs w:val="22"/>
                <w:color w:val="auto"/>
              </w:rPr>
            </w:pPr>
          </w:p>
        </w:tc>
        <w:tc>
          <w:tcPr>
            <w:tcW w:w="200" w:type="dxa"/>
            <w:vAlign w:val="bottom"/>
            <w:shd w:val="clear" w:color="auto" w:fill="083566"/>
          </w:tcPr>
          <w:p>
            <w:pPr>
              <w:spacing w:after="0"/>
              <w:rPr>
                <w:sz w:val="22"/>
                <w:szCs w:val="22"/>
                <w:color w:val="auto"/>
              </w:rPr>
            </w:pPr>
          </w:p>
        </w:tc>
        <w:tc>
          <w:tcPr>
            <w:tcW w:w="800" w:type="dxa"/>
            <w:vAlign w:val="bottom"/>
            <w:shd w:val="clear" w:color="auto" w:fill="083566"/>
          </w:tcPr>
          <w:p>
            <w:pPr>
              <w:spacing w:after="0"/>
              <w:rPr>
                <w:sz w:val="22"/>
                <w:szCs w:val="22"/>
                <w:color w:val="auto"/>
              </w:rPr>
            </w:pPr>
          </w:p>
        </w:tc>
        <w:tc>
          <w:tcPr>
            <w:tcW w:w="920" w:type="dxa"/>
            <w:vAlign w:val="bottom"/>
            <w:shd w:val="clear" w:color="auto" w:fill="08356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380" w:type="dxa"/>
            <w:vAlign w:val="bottom"/>
            <w:shd w:val="clear" w:color="auto" w:fill="083566"/>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160" w:type="dxa"/>
            <w:vAlign w:val="bottom"/>
            <w:shd w:val="clear" w:color="auto" w:fill="083566"/>
          </w:tcPr>
          <w:p>
            <w:pPr>
              <w:spacing w:after="0"/>
              <w:rPr>
                <w:sz w:val="20"/>
                <w:szCs w:val="20"/>
                <w:color w:val="auto"/>
              </w:rPr>
            </w:pPr>
          </w:p>
        </w:tc>
        <w:tc>
          <w:tcPr>
            <w:tcW w:w="620" w:type="dxa"/>
            <w:vAlign w:val="bottom"/>
            <w:shd w:val="clear" w:color="auto" w:fill="083566"/>
          </w:tcPr>
          <w:p>
            <w:pPr>
              <w:jc w:val="right"/>
              <w:ind w:right="99"/>
              <w:spacing w:after="0"/>
              <w:rPr>
                <w:sz w:val="20"/>
                <w:szCs w:val="20"/>
                <w:color w:val="auto"/>
              </w:rPr>
            </w:pPr>
            <w:r>
              <w:rPr>
                <w:rFonts w:ascii="Arial" w:cs="Arial" w:eastAsia="Arial" w:hAnsi="Arial"/>
                <w:sz w:val="16"/>
                <w:szCs w:val="16"/>
                <w:b w:val="1"/>
                <w:bCs w:val="1"/>
                <w:color w:val="FFFFFF"/>
              </w:rPr>
              <w:t>4Q22</w:t>
            </w:r>
          </w:p>
        </w:tc>
        <w:tc>
          <w:tcPr>
            <w:tcW w:w="200" w:type="dxa"/>
            <w:vAlign w:val="bottom"/>
            <w:shd w:val="clear" w:color="auto" w:fill="083566"/>
          </w:tcPr>
          <w:p>
            <w:pPr>
              <w:spacing w:after="0"/>
              <w:rPr>
                <w:sz w:val="20"/>
                <w:szCs w:val="20"/>
                <w:color w:val="auto"/>
              </w:rPr>
            </w:pPr>
          </w:p>
        </w:tc>
        <w:tc>
          <w:tcPr>
            <w:tcW w:w="80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4Q21</w:t>
            </w:r>
          </w:p>
        </w:tc>
        <w:tc>
          <w:tcPr>
            <w:tcW w:w="92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346</w:t>
            </w:r>
          </w:p>
        </w:tc>
        <w:tc>
          <w:tcPr>
            <w:tcW w:w="9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5"/>
        </w:trPr>
        <w:tc>
          <w:tcPr>
            <w:tcW w:w="17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293,042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276,883</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5.8 %</w:t>
            </w:r>
          </w:p>
        </w:tc>
        <w:tc>
          <w:tcPr>
            <w:tcW w:w="560" w:type="dxa"/>
            <w:vAlign w:val="bottom"/>
          </w:tcPr>
          <w:p>
            <w:pPr>
              <w:jc w:val="right"/>
              <w:spacing w:after="0"/>
              <w:rPr>
                <w:sz w:val="20"/>
                <w:szCs w:val="20"/>
                <w:color w:val="auto"/>
              </w:rPr>
            </w:pPr>
            <w:r>
              <w:rPr>
                <w:rFonts w:ascii="Arial" w:cs="Arial" w:eastAsia="Arial" w:hAnsi="Arial"/>
                <w:sz w:val="16"/>
                <w:szCs w:val="16"/>
                <w:color w:val="auto"/>
              </w:rPr>
              <w:t>9.3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311</w:t>
            </w:r>
          </w:p>
        </w:tc>
        <w:tc>
          <w:tcPr>
            <w:tcW w:w="20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384</w:t>
            </w:r>
          </w:p>
        </w:tc>
        <w:tc>
          <w:tcPr>
            <w:tcW w:w="92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44"/>
        </w:trPr>
        <w:tc>
          <w:tcPr>
            <w:tcW w:w="176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145,314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146,528</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(0.8) %</w:t>
            </w:r>
          </w:p>
        </w:tc>
        <w:tc>
          <w:tcPr>
            <w:tcW w:w="560" w:type="dxa"/>
            <w:vAlign w:val="bottom"/>
          </w:tcPr>
          <w:p>
            <w:pPr>
              <w:jc w:val="right"/>
              <w:spacing w:after="0"/>
              <w:rPr>
                <w:sz w:val="20"/>
                <w:szCs w:val="20"/>
                <w:color w:val="auto"/>
              </w:rPr>
            </w:pPr>
            <w:r>
              <w:rPr>
                <w:rFonts w:ascii="Arial" w:cs="Arial" w:eastAsia="Arial" w:hAnsi="Arial"/>
                <w:sz w:val="16"/>
                <w:szCs w:val="16"/>
                <w:color w:val="auto"/>
              </w:rPr>
              <w:t>3.2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629</w:t>
            </w:r>
          </w:p>
        </w:tc>
        <w:tc>
          <w:tcPr>
            <w:tcW w:w="200" w:type="dxa"/>
            <w:vAlign w:val="bottom"/>
            <w:tcBorders>
              <w:bottom w:val="single" w:sz="8" w:color="083566"/>
            </w:tcBorders>
            <w:shd w:val="clear" w:color="auto" w:fill="D5DCE4"/>
          </w:tcPr>
          <w:p>
            <w:pPr>
              <w:spacing w:after="0"/>
              <w:rPr>
                <w:sz w:val="21"/>
                <w:szCs w:val="21"/>
                <w:color w:val="auto"/>
              </w:rPr>
            </w:pPr>
          </w:p>
        </w:tc>
        <w:tc>
          <w:tcPr>
            <w:tcW w:w="800" w:type="dxa"/>
            <w:vAlign w:val="bottom"/>
            <w:tcBorders>
              <w:bottom w:val="single" w:sz="8" w:color="083566"/>
            </w:tcBorders>
            <w:shd w:val="clear" w:color="auto" w:fill="D5DCE4"/>
          </w:tcPr>
          <w:p>
            <w:pPr>
              <w:jc w:val="right"/>
              <w:ind w:right="139"/>
              <w:spacing w:after="0"/>
              <w:rPr>
                <w:sz w:val="20"/>
                <w:szCs w:val="20"/>
                <w:color w:val="auto"/>
              </w:rPr>
            </w:pPr>
            <w:r>
              <w:rPr>
                <w:rFonts w:ascii="Arial" w:cs="Arial" w:eastAsia="Arial" w:hAnsi="Arial"/>
                <w:sz w:val="16"/>
                <w:szCs w:val="16"/>
                <w:color w:val="auto"/>
              </w:rPr>
              <w:t>729</w:t>
            </w:r>
          </w:p>
        </w:tc>
        <w:tc>
          <w:tcPr>
            <w:tcW w:w="9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28"/>
        </w:trPr>
        <w:tc>
          <w:tcPr>
            <w:tcW w:w="176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83,393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73,614</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13.3 %</w:t>
            </w:r>
          </w:p>
        </w:tc>
        <w:tc>
          <w:tcPr>
            <w:tcW w:w="560" w:type="dxa"/>
            <w:vAlign w:val="bottom"/>
          </w:tcPr>
          <w:p>
            <w:pPr>
              <w:jc w:val="right"/>
              <w:spacing w:after="0"/>
              <w:rPr>
                <w:sz w:val="20"/>
                <w:szCs w:val="20"/>
                <w:color w:val="auto"/>
              </w:rPr>
            </w:pPr>
            <w:r>
              <w:rPr>
                <w:rFonts w:ascii="Arial" w:cs="Arial" w:eastAsia="Arial" w:hAnsi="Arial"/>
                <w:sz w:val="16"/>
                <w:szCs w:val="16"/>
                <w:color w:val="auto"/>
              </w:rPr>
              <w:t>15.8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9"/>
                <w:szCs w:val="19"/>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920" w:type="dxa"/>
            <w:vAlign w:val="bottom"/>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251"/>
        </w:trPr>
        <w:tc>
          <w:tcPr>
            <w:tcW w:w="176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23,003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18,361</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25.3 %</w:t>
            </w:r>
          </w:p>
        </w:tc>
        <w:tc>
          <w:tcPr>
            <w:tcW w:w="560" w:type="dxa"/>
            <w:vAlign w:val="bottom"/>
          </w:tcPr>
          <w:p>
            <w:pPr>
              <w:jc w:val="right"/>
              <w:spacing w:after="0"/>
              <w:rPr>
                <w:sz w:val="20"/>
                <w:szCs w:val="20"/>
                <w:color w:val="auto"/>
              </w:rPr>
            </w:pPr>
            <w:r>
              <w:rPr>
                <w:rFonts w:ascii="Arial" w:cs="Arial" w:eastAsia="Arial" w:hAnsi="Arial"/>
                <w:sz w:val="16"/>
                <w:szCs w:val="16"/>
                <w:color w:val="auto"/>
              </w:rPr>
              <w:t>30.8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1"/>
                <w:szCs w:val="21"/>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920" w:type="dxa"/>
            <w:vAlign w:val="bottom"/>
          </w:tcPr>
          <w:p>
            <w:pPr>
              <w:jc w:val="right"/>
              <w:spacing w:after="0"/>
              <w:rPr>
                <w:sz w:val="20"/>
                <w:szCs w:val="20"/>
                <w:color w:val="auto"/>
              </w:rPr>
            </w:pPr>
            <w:r>
              <w:rPr>
                <w:rFonts w:ascii="Arial" w:cs="Arial" w:eastAsia="Arial" w:hAnsi="Arial"/>
                <w:sz w:val="16"/>
                <w:szCs w:val="16"/>
                <w:color w:val="auto"/>
              </w:rPr>
              <w:t>15.8 %</w:t>
            </w:r>
          </w:p>
        </w:tc>
        <w:tc>
          <w:tcPr>
            <w:tcW w:w="0" w:type="dxa"/>
            <w:vAlign w:val="bottom"/>
          </w:tcPr>
          <w:p>
            <w:pPr>
              <w:spacing w:after="0"/>
              <w:rPr>
                <w:sz w:val="1"/>
                <w:szCs w:val="1"/>
                <w:color w:val="auto"/>
              </w:rPr>
            </w:pPr>
          </w:p>
        </w:tc>
      </w:tr>
      <w:tr>
        <w:trPr>
          <w:trHeight w:val="244"/>
        </w:trPr>
        <w:tc>
          <w:tcPr>
            <w:tcW w:w="176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13,299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10,915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21.8 %</w:t>
            </w:r>
          </w:p>
        </w:tc>
        <w:tc>
          <w:tcPr>
            <w:tcW w:w="560" w:type="dxa"/>
            <w:vAlign w:val="bottom"/>
          </w:tcPr>
          <w:p>
            <w:pPr>
              <w:jc w:val="right"/>
              <w:spacing w:after="0"/>
              <w:rPr>
                <w:sz w:val="20"/>
                <w:szCs w:val="20"/>
                <w:color w:val="auto"/>
              </w:rPr>
            </w:pPr>
            <w:r>
              <w:rPr>
                <w:rFonts w:ascii="Arial" w:cs="Arial" w:eastAsia="Arial" w:hAnsi="Arial"/>
                <w:sz w:val="16"/>
                <w:szCs w:val="16"/>
                <w:color w:val="auto"/>
              </w:rPr>
              <w:t>24.1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083566"/>
            </w:tcBorders>
            <w:shd w:val="clear" w:color="auto" w:fill="D5DCE4"/>
          </w:tcPr>
          <w:p>
            <w:pPr>
              <w:spacing w:after="0"/>
              <w:rPr>
                <w:sz w:val="21"/>
                <w:szCs w:val="21"/>
                <w:color w:val="auto"/>
              </w:rPr>
            </w:pPr>
          </w:p>
        </w:tc>
        <w:tc>
          <w:tcPr>
            <w:tcW w:w="800" w:type="dxa"/>
            <w:vAlign w:val="bottom"/>
            <w:tcBorders>
              <w:bottom w:val="single" w:sz="8" w:color="083566"/>
            </w:tcBorders>
            <w:shd w:val="clear" w:color="auto" w:fill="D5DCE4"/>
          </w:tcPr>
          <w:p>
            <w:pPr>
              <w:jc w:val="right"/>
              <w:ind w:right="139"/>
              <w:spacing w:after="0"/>
              <w:rPr>
                <w:sz w:val="20"/>
                <w:szCs w:val="20"/>
                <w:color w:val="auto"/>
              </w:rPr>
            </w:pPr>
            <w:r>
              <w:rPr>
                <w:rFonts w:ascii="Arial" w:cs="Arial" w:eastAsia="Arial" w:hAnsi="Arial"/>
                <w:sz w:val="16"/>
                <w:szCs w:val="16"/>
                <w:color w:val="auto"/>
              </w:rPr>
              <w:t>19</w:t>
            </w:r>
          </w:p>
        </w:tc>
        <w:tc>
          <w:tcPr>
            <w:tcW w:w="9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228"/>
        </w:trPr>
        <w:tc>
          <w:tcPr>
            <w:tcW w:w="176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22,295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21,648</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3.0 %</w:t>
            </w: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9"/>
                <w:szCs w:val="19"/>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920" w:type="dxa"/>
            <w:vAlign w:val="bottom"/>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51"/>
        </w:trPr>
        <w:tc>
          <w:tcPr>
            <w:tcW w:w="176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5,738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5,817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 %</w:t>
            </w:r>
          </w:p>
        </w:tc>
        <w:tc>
          <w:tcPr>
            <w:tcW w:w="940" w:type="dxa"/>
            <w:vAlign w:val="bottom"/>
            <w:gridSpan w:val="2"/>
          </w:tcPr>
          <w:p>
            <w:pPr>
              <w:jc w:val="right"/>
              <w:ind w:right="99"/>
              <w:spacing w:after="0"/>
              <w:rPr>
                <w:sz w:val="20"/>
                <w:szCs w:val="20"/>
                <w:color w:val="auto"/>
              </w:rPr>
            </w:pPr>
            <w:r>
              <w:rPr>
                <w:rFonts w:ascii="Arial" w:cs="Arial" w:eastAsia="Arial" w:hAnsi="Arial"/>
                <w:sz w:val="16"/>
                <w:szCs w:val="16"/>
                <w:color w:val="auto"/>
              </w:rPr>
              <w:t>(1.3) %</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1"/>
                <w:szCs w:val="21"/>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920" w:type="dxa"/>
            <w:vAlign w:val="bottom"/>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44"/>
        </w:trPr>
        <w:tc>
          <w:tcPr>
            <w:tcW w:w="1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99,002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60,005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65.0 %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083566"/>
            </w:tcBorders>
            <w:shd w:val="clear" w:color="auto" w:fill="D5DCE4"/>
          </w:tcPr>
          <w:p>
            <w:pPr>
              <w:spacing w:after="0"/>
              <w:rPr>
                <w:sz w:val="21"/>
                <w:szCs w:val="21"/>
                <w:color w:val="auto"/>
              </w:rPr>
            </w:pPr>
          </w:p>
        </w:tc>
        <w:tc>
          <w:tcPr>
            <w:tcW w:w="800" w:type="dxa"/>
            <w:vAlign w:val="bottom"/>
            <w:tcBorders>
              <w:bottom w:val="single" w:sz="8" w:color="083566"/>
            </w:tcBorders>
            <w:shd w:val="clear" w:color="auto" w:fill="D5DCE4"/>
          </w:tcPr>
          <w:p>
            <w:pPr>
              <w:jc w:val="right"/>
              <w:ind w:right="139"/>
              <w:spacing w:after="0"/>
              <w:rPr>
                <w:sz w:val="20"/>
                <w:szCs w:val="20"/>
                <w:color w:val="auto"/>
              </w:rPr>
            </w:pPr>
            <w:r>
              <w:rPr>
                <w:rFonts w:ascii="Arial" w:cs="Arial" w:eastAsia="Arial" w:hAnsi="Arial"/>
                <w:sz w:val="16"/>
                <w:szCs w:val="16"/>
                <w:color w:val="auto"/>
              </w:rPr>
              <w:t>16</w:t>
            </w:r>
          </w:p>
        </w:tc>
        <w:tc>
          <w:tcPr>
            <w:tcW w:w="9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188"/>
        </w:trPr>
        <w:tc>
          <w:tcPr>
            <w:tcW w:w="176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6"/>
                <w:szCs w:val="16"/>
                <w:color w:val="auto"/>
              </w:rPr>
              <w:t>Money Markets Cash</w:t>
            </w: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401</w:t>
            </w:r>
          </w:p>
        </w:tc>
        <w:tc>
          <w:tcPr>
            <w:tcW w:w="200" w:type="dxa"/>
            <w:vAlign w:val="bottom"/>
          </w:tcPr>
          <w:p>
            <w:pPr>
              <w:spacing w:after="0"/>
              <w:rPr>
                <w:sz w:val="16"/>
                <w:szCs w:val="16"/>
                <w:color w:val="auto"/>
              </w:rPr>
            </w:pPr>
          </w:p>
        </w:tc>
        <w:tc>
          <w:tcPr>
            <w:tcW w:w="800" w:type="dxa"/>
            <w:vAlign w:val="bottom"/>
            <w:vMerge w:val="restart"/>
          </w:tcPr>
          <w:p>
            <w:pPr>
              <w:jc w:val="right"/>
              <w:ind w:right="139"/>
              <w:spacing w:after="0"/>
              <w:rPr>
                <w:sz w:val="20"/>
                <w:szCs w:val="20"/>
                <w:color w:val="auto"/>
              </w:rPr>
            </w:pPr>
            <w:r>
              <w:rPr>
                <w:rFonts w:ascii="Arial" w:cs="Arial" w:eastAsia="Arial" w:hAnsi="Arial"/>
                <w:sz w:val="16"/>
                <w:szCs w:val="16"/>
                <w:color w:val="auto"/>
              </w:rPr>
              <w:t>351</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shd w:val="clear" w:color="auto" w:fill="D5DCE4"/>
          </w:tcPr>
          <w:p>
            <w:pPr>
              <w:spacing w:after="0"/>
              <w:rPr>
                <w:sz w:val="7"/>
                <w:szCs w:val="7"/>
                <w:color w:val="auto"/>
              </w:rPr>
            </w:pPr>
          </w:p>
        </w:tc>
        <w:tc>
          <w:tcPr>
            <w:tcW w:w="160" w:type="dxa"/>
            <w:vAlign w:val="bottom"/>
            <w:shd w:val="clear" w:color="auto" w:fill="D5DCE4"/>
          </w:tcPr>
          <w:p>
            <w:pPr>
              <w:spacing w:after="0"/>
              <w:rPr>
                <w:sz w:val="7"/>
                <w:szCs w:val="7"/>
                <w:color w:val="auto"/>
              </w:rPr>
            </w:pPr>
          </w:p>
        </w:tc>
        <w:tc>
          <w:tcPr>
            <w:tcW w:w="620" w:type="dxa"/>
            <w:vAlign w:val="bottom"/>
            <w:shd w:val="clear" w:color="auto" w:fill="D5DCE4"/>
          </w:tcPr>
          <w:p>
            <w:pPr>
              <w:spacing w:after="0"/>
              <w:rPr>
                <w:sz w:val="7"/>
                <w:szCs w:val="7"/>
                <w:color w:val="auto"/>
              </w:rPr>
            </w:pPr>
          </w:p>
        </w:tc>
        <w:tc>
          <w:tcPr>
            <w:tcW w:w="200" w:type="dxa"/>
            <w:vAlign w:val="bottom"/>
            <w:shd w:val="clear" w:color="auto" w:fill="D5DCE4"/>
          </w:tcPr>
          <w:p>
            <w:pPr>
              <w:spacing w:after="0"/>
              <w:rPr>
                <w:sz w:val="7"/>
                <w:szCs w:val="7"/>
                <w:color w:val="auto"/>
              </w:rPr>
            </w:pPr>
          </w:p>
        </w:tc>
        <w:tc>
          <w:tcPr>
            <w:tcW w:w="800" w:type="dxa"/>
            <w:vAlign w:val="bottom"/>
            <w:shd w:val="clear" w:color="auto" w:fill="D5DCE4"/>
          </w:tcPr>
          <w:p>
            <w:pPr>
              <w:spacing w:after="0"/>
              <w:rPr>
                <w:sz w:val="7"/>
                <w:szCs w:val="7"/>
                <w:color w:val="auto"/>
              </w:rPr>
            </w:pPr>
          </w:p>
        </w:tc>
        <w:tc>
          <w:tcPr>
            <w:tcW w:w="920" w:type="dxa"/>
            <w:vAlign w:val="bottom"/>
            <w:shd w:val="clear" w:color="auto" w:fill="D5DCE4"/>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88,946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48,890</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81.9 %</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Borders>
              <w:bottom w:val="single" w:sz="8" w:color="083566"/>
            </w:tcBorders>
          </w:tcPr>
          <w:p>
            <w:pPr>
              <w:spacing w:after="0"/>
              <w:rPr>
                <w:sz w:val="20"/>
                <w:szCs w:val="20"/>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0"/>
                <w:szCs w:val="20"/>
                <w:color w:val="auto"/>
              </w:rPr>
            </w:pPr>
          </w:p>
        </w:tc>
        <w:tc>
          <w:tcPr>
            <w:tcW w:w="6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401</w:t>
            </w:r>
          </w:p>
        </w:tc>
        <w:tc>
          <w:tcPr>
            <w:tcW w:w="200" w:type="dxa"/>
            <w:vAlign w:val="bottom"/>
            <w:tcBorders>
              <w:bottom w:val="single" w:sz="8" w:color="083566"/>
            </w:tcBorders>
            <w:shd w:val="clear" w:color="auto" w:fill="D5DCE4"/>
          </w:tcPr>
          <w:p>
            <w:pPr>
              <w:spacing w:after="0"/>
              <w:rPr>
                <w:sz w:val="20"/>
                <w:szCs w:val="20"/>
                <w:color w:val="auto"/>
              </w:rPr>
            </w:pPr>
          </w:p>
        </w:tc>
        <w:tc>
          <w:tcPr>
            <w:tcW w:w="800" w:type="dxa"/>
            <w:vAlign w:val="bottom"/>
            <w:tcBorders>
              <w:bottom w:val="single" w:sz="8" w:color="083566"/>
            </w:tcBorders>
            <w:shd w:val="clear" w:color="auto" w:fill="D5DCE4"/>
          </w:tcPr>
          <w:p>
            <w:pPr>
              <w:jc w:val="right"/>
              <w:ind w:right="139"/>
              <w:spacing w:after="0"/>
              <w:rPr>
                <w:sz w:val="20"/>
                <w:szCs w:val="20"/>
                <w:color w:val="auto"/>
              </w:rPr>
            </w:pPr>
            <w:r>
              <w:rPr>
                <w:rFonts w:ascii="Arial" w:cs="Arial" w:eastAsia="Arial" w:hAnsi="Arial"/>
                <w:sz w:val="16"/>
                <w:szCs w:val="16"/>
                <w:color w:val="auto"/>
              </w:rPr>
              <w:t>351</w:t>
            </w:r>
          </w:p>
        </w:tc>
        <w:tc>
          <w:tcPr>
            <w:tcW w:w="9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236"/>
        </w:trPr>
        <w:tc>
          <w:tcPr>
            <w:tcW w:w="176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0.42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0.23</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82.6 %</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1,069</w:t>
            </w:r>
          </w:p>
        </w:tc>
        <w:tc>
          <w:tcPr>
            <w:tcW w:w="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rPr>
              <w:t>1,115</w:t>
            </w:r>
          </w:p>
        </w:tc>
        <w:tc>
          <w:tcPr>
            <w:tcW w:w="9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228"/>
        </w:trPr>
        <w:tc>
          <w:tcPr>
            <w:tcW w:w="176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33.8 %</w:t>
            </w: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21.7 %</w:t>
            </w:r>
          </w:p>
        </w:tc>
        <w:tc>
          <w:tcPr>
            <w:tcW w:w="880" w:type="dxa"/>
            <w:vAlign w:val="bottom"/>
          </w:tcPr>
          <w:p>
            <w:pPr>
              <w:jc w:val="right"/>
              <w:spacing w:after="0"/>
              <w:rPr>
                <w:sz w:val="20"/>
                <w:szCs w:val="20"/>
                <w:color w:val="auto"/>
              </w:rPr>
            </w:pPr>
            <w:r>
              <w:rPr>
                <w:rFonts w:ascii="Arial" w:cs="Arial" w:eastAsia="Arial" w:hAnsi="Arial"/>
                <w:sz w:val="16"/>
                <w:szCs w:val="16"/>
                <w:color w:val="auto"/>
              </w:rPr>
              <w:t>1,211 bps</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74586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45865" cy="154305"/>
                    </a:xfrm>
                    <a:prstGeom prst="rect">
                      <a:avLst/>
                    </a:prstGeom>
                    <a:noFill/>
                  </pic:spPr>
                </pic:pic>
              </a:graphicData>
            </a:graphic>
          </wp:anchor>
        </w:drawing>
      </w:r>
    </w:p>
    <w:p>
      <w:pPr>
        <w:sectPr>
          <w:pgSz w:w="11900" w:h="16838" w:orient="portrait"/>
          <w:cols w:equalWidth="0" w:num="1">
            <w:col w:w="10980"/>
          </w:cols>
          <w:pgMar w:left="320" w:top="274" w:right="599" w:bottom="1440" w:gutter="0" w:footer="0" w:header="0"/>
          <w:type w:val="continuous"/>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Financial Measures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78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154,749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140,088</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10.5 %</w:t>
            </w:r>
          </w:p>
        </w:tc>
        <w:tc>
          <w:tcPr>
            <w:tcW w:w="500" w:type="dxa"/>
            <w:vAlign w:val="bottom"/>
          </w:tcPr>
          <w:p>
            <w:pPr>
              <w:jc w:val="right"/>
              <w:spacing w:after="0"/>
              <w:rPr>
                <w:sz w:val="20"/>
                <w:szCs w:val="20"/>
                <w:color w:val="auto"/>
              </w:rPr>
            </w:pPr>
            <w:r>
              <w:rPr>
                <w:rFonts w:ascii="Arial" w:cs="Arial" w:eastAsia="Arial" w:hAnsi="Arial"/>
                <w:sz w:val="16"/>
                <w:szCs w:val="16"/>
                <w:color w:val="auto"/>
              </w:rPr>
              <w:t>12.9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1780" w:type="dxa"/>
            <w:vAlign w:val="bottom"/>
          </w:tcPr>
          <w:p>
            <w:pPr>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52.8 %</w:t>
            </w:r>
          </w:p>
        </w:tc>
        <w:tc>
          <w:tcPr>
            <w:tcW w:w="2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50.6 %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221 bps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166 bps</w:t>
            </w:r>
          </w:p>
        </w:tc>
      </w:tr>
      <w:tr>
        <w:trPr>
          <w:trHeight w:val="243"/>
        </w:trPr>
        <w:tc>
          <w:tcPr>
            <w:tcW w:w="178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141,439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128,217</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10.3 %</w:t>
            </w:r>
          </w:p>
        </w:tc>
        <w:tc>
          <w:tcPr>
            <w:tcW w:w="500" w:type="dxa"/>
            <w:vAlign w:val="bottom"/>
          </w:tcPr>
          <w:p>
            <w:pPr>
              <w:jc w:val="right"/>
              <w:spacing w:after="0"/>
              <w:rPr>
                <w:sz w:val="20"/>
                <w:szCs w:val="20"/>
                <w:color w:val="auto"/>
              </w:rPr>
            </w:pPr>
            <w:r>
              <w:rPr>
                <w:rFonts w:ascii="Arial" w:cs="Arial" w:eastAsia="Arial" w:hAnsi="Arial"/>
                <w:sz w:val="16"/>
                <w:szCs w:val="16"/>
                <w:color w:val="auto"/>
              </w:rPr>
              <w:t>12.8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43"/>
        </w:trPr>
        <w:tc>
          <w:tcPr>
            <w:tcW w:w="1780" w:type="dxa"/>
            <w:vAlign w:val="bottom"/>
          </w:tcPr>
          <w:p>
            <w:pPr>
              <w:spacing w:after="0"/>
              <w:rPr>
                <w:sz w:val="20"/>
                <w:szCs w:val="20"/>
                <w:color w:val="auto"/>
              </w:rPr>
            </w:pPr>
            <w:r>
              <w:rPr>
                <w:rFonts w:ascii="Arial" w:cs="Arial" w:eastAsia="Arial" w:hAnsi="Arial"/>
                <w:sz w:val="16"/>
                <w:szCs w:val="16"/>
                <w:color w:val="auto"/>
                <w:w w:val="99"/>
              </w:rPr>
              <w:t xml:space="preserve">Adjusted EBIT margin </w:t>
            </w:r>
            <w:r>
              <w:rPr>
                <w:rFonts w:ascii="Arial" w:cs="Arial" w:eastAsia="Arial" w:hAnsi="Arial"/>
                <w:sz w:val="21"/>
                <w:szCs w:val="21"/>
                <w:color w:val="auto"/>
                <w:w w:val="99"/>
                <w:vertAlign w:val="superscript"/>
              </w:rPr>
              <w:t>(1)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48.3 %</w:t>
            </w:r>
          </w:p>
        </w:tc>
        <w:tc>
          <w:tcPr>
            <w:tcW w:w="20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46.3 %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196 bps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149 bps</w:t>
            </w:r>
          </w:p>
        </w:tc>
      </w:tr>
      <w:tr>
        <w:trPr>
          <w:trHeight w:val="259"/>
        </w:trPr>
        <w:tc>
          <w:tcPr>
            <w:tcW w:w="1780" w:type="dxa"/>
            <w:vAlign w:val="bottom"/>
          </w:tcPr>
          <w:p>
            <w:pPr>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116,875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99,689</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17.2 %</w:t>
            </w:r>
          </w:p>
        </w:tc>
        <w:tc>
          <w:tcPr>
            <w:tcW w:w="500" w:type="dxa"/>
            <w:vAlign w:val="bottom"/>
          </w:tcPr>
          <w:p>
            <w:pPr>
              <w:jc w:val="right"/>
              <w:spacing w:after="0"/>
              <w:rPr>
                <w:sz w:val="20"/>
                <w:szCs w:val="20"/>
                <w:color w:val="auto"/>
              </w:rPr>
            </w:pPr>
            <w:r>
              <w:rPr>
                <w:rFonts w:ascii="Arial" w:cs="Arial" w:eastAsia="Arial" w:hAnsi="Arial"/>
                <w:sz w:val="16"/>
                <w:szCs w:val="16"/>
                <w:color w:val="auto"/>
              </w:rPr>
              <w:t>19.7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46" w:right="160" w:hanging="246"/>
        <w:spacing w:after="0" w:line="261"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59" w:lineRule="exact"/>
        <w:rPr>
          <w:rFonts w:ascii="Arial" w:cs="Arial" w:eastAsia="Arial" w:hAnsi="Arial"/>
          <w:sz w:val="12"/>
          <w:szCs w:val="12"/>
          <w:color w:val="auto"/>
        </w:rPr>
      </w:pPr>
    </w:p>
    <w:p>
      <w:pPr>
        <w:ind w:left="186" w:hanging="186"/>
        <w:spacing w:after="0"/>
        <w:tabs>
          <w:tab w:leader="none" w:pos="186"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pacing w:after="0" w:line="728" w:lineRule="exact"/>
        <w:rPr>
          <w:sz w:val="20"/>
          <w:szCs w:val="20"/>
          <w:color w:val="auto"/>
        </w:rPr>
      </w:pPr>
    </w:p>
    <w:p>
      <w:pPr>
        <w:sectPr>
          <w:pgSz w:w="11900" w:h="16838" w:orient="portrait"/>
          <w:cols w:equalWidth="0" w:num="2">
            <w:col w:w="5840" w:space="274"/>
            <w:col w:w="4866"/>
          </w:cols>
          <w:pgMar w:left="320" w:top="274" w:right="599" w:bottom="1440" w:gutter="0" w:footer="0" w:header="0"/>
          <w:type w:val="continuous"/>
        </w:sectPr>
      </w:pPr>
    </w:p>
    <w:tbl>
      <w:tblPr>
        <w:tblLayout w:type="fixed"/>
        <w:tblInd w:w="20" w:type="dxa"/>
        <w:tblCellMar>
          <w:top w:w="0" w:type="dxa"/>
          <w:left w:w="0" w:type="dxa"/>
          <w:bottom w:w="0" w:type="dxa"/>
          <w:right w:w="0" w:type="dxa"/>
        </w:tblCellMar>
      </w:tblPr>
      <w:tr>
        <w:trPr>
          <w:trHeight w:val="147"/>
        </w:trPr>
        <w:tc>
          <w:tcPr>
            <w:tcW w:w="1680" w:type="dxa"/>
            <w:vAlign w:val="bottom"/>
          </w:tcPr>
          <w:p>
            <w:pPr>
              <w:spacing w:after="0" w:line="147" w:lineRule="exact"/>
              <w:rPr>
                <w:sz w:val="20"/>
                <w:szCs w:val="20"/>
                <w:color w:val="auto"/>
              </w:rPr>
            </w:pPr>
            <w:r>
              <w:rPr>
                <w:rFonts w:ascii="Arial" w:cs="Arial" w:eastAsia="Arial" w:hAnsi="Arial"/>
                <w:sz w:val="16"/>
                <w:szCs w:val="16"/>
                <w:color w:val="auto"/>
              </w:rPr>
              <w:t>Adjusted Diluted EPS</w:t>
            </w:r>
          </w:p>
        </w:tc>
        <w:tc>
          <w:tcPr>
            <w:tcW w:w="4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0.49</w:t>
            </w:r>
          </w:p>
        </w:tc>
        <w:tc>
          <w:tcPr>
            <w:tcW w:w="44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59"/>
              <w:spacing w:after="0"/>
              <w:rPr>
                <w:sz w:val="20"/>
                <w:szCs w:val="20"/>
                <w:color w:val="auto"/>
              </w:rPr>
            </w:pPr>
            <w:r>
              <w:rPr>
                <w:rFonts w:ascii="Arial" w:cs="Arial" w:eastAsia="Arial" w:hAnsi="Arial"/>
                <w:sz w:val="16"/>
                <w:szCs w:val="16"/>
                <w:color w:val="auto"/>
              </w:rPr>
              <w:t>0.42</w:t>
            </w: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16.7 %</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21.4 %</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20"/>
                <w:szCs w:val="20"/>
                <w:color w:val="auto"/>
              </w:rPr>
            </w:pPr>
            <w:r>
              <w:rPr>
                <w:rFonts w:ascii="Arial" w:cs="Arial" w:eastAsia="Arial" w:hAnsi="Arial"/>
                <w:sz w:val="11"/>
                <w:szCs w:val="11"/>
                <w:color w:val="auto"/>
              </w:rPr>
              <w:t>(1)</w:t>
            </w:r>
          </w:p>
        </w:tc>
        <w:tc>
          <w:tcPr>
            <w:tcW w:w="4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6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274" w:right="5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 FOURTH QUARTER 2022</w:t>
      </w:r>
    </w:p>
    <w:p>
      <w:pPr>
        <w:spacing w:after="0" w:line="11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$145.3 million in the fourth quarter of 2022 decreased 0.8% compared to prior year period (increased 3.2%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While fourth quarter rates ADV was down 13.7% from prior year period, trading volumes in the month of December increased 7.0% compared to prior year period.</w:t>
      </w:r>
    </w:p>
    <w:p>
      <w:pPr>
        <w:spacing w:after="0" w:line="20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$83.4 million in the fourth quarter of 2022 increased 13.3% compared to prior year period (increased 15.8%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ADV was up 15.2% with record ADV and record share of TRACE in fully electronic U.S. High Grade credit, record ADV in retail U.S. credit and municipal bonds, as well as strong growth in credit derivatives. Tradeweb's share of fully electronic TRACE volume for U.S. High Grade was a record 14.4% compared with 13.4% in the prior year period (+100 bps) and for U.S. High Yield was 6.7%, compared with 7.3% in the prior year period (-60 bps).</w:t>
      </w:r>
    </w:p>
    <w:p>
      <w:pPr>
        <w:spacing w:after="0" w:line="200"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$23.0 million in the fourth quarter of 2022 increased 25.3% compared to prior year period (increased 30.8%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7.8% with record ADV in U.S. institutional ETFs. Equities performance reflected increased adoption of request-for-quote (RFQ) for electronic trading in ETFs globally.</w:t>
      </w:r>
    </w:p>
    <w:p>
      <w:pPr>
        <w:spacing w:after="0" w:line="19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$13.3 million in the fourth quarter of 2022 increased 21.8% compared to prior year period (increased 24.1%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14.3% led by record ADV in retail money markets and continued client adoption of Tradeweb's electronic trading solutions.</w:t>
      </w:r>
    </w:p>
    <w:p>
      <w:pPr>
        <w:spacing w:after="0" w:line="191"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$22.3 million in the fourth quarter of 2022 increased 3.0% compared to prior year period (increased 5.0%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derived primarily from increased third party market data fees and Refinitiv market data fees.</w:t>
      </w:r>
    </w:p>
    <w:p>
      <w:pPr>
        <w:spacing w:after="0" w:line="168"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$5.7 million in the fourth quarter of 2022 decreased 1.4% compared to prior year period (decreased 1.3%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w:t>
      </w:r>
    </w:p>
    <w:p>
      <w:pPr>
        <w:spacing w:after="0" w:line="16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 Operating expenses of $201.5 million in the fourth quarter of 2022 increased 8.5% compared to $185.7 million in the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due to: higher general and administrative expenses primarily driven by unrealized losses on foreign forward contracts and increased travel and entertainment expense following the easing of restrictions relating to the pandemic and higher professional fees primarily due to an increase in legal costs.</w:t>
      </w:r>
    </w:p>
    <w:p>
      <w:pPr>
        <w:spacing w:after="0" w:line="191"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$151.6 million remained relatively flat, with an increase of only 2.0% (increased 6.3% on a constant currency basis) compared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 year period. Please see "Non-GAAP Financial Measures" below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DISCUSSION OF RESULTS: FULL-YEAR 2022</w:t>
      </w:r>
    </w:p>
    <w:p>
      <w:pPr>
        <w:spacing w:after="0" w:line="11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Tradeweb recorded its 23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consecutive year of record revenues for the year ended December 31, 2022, as total revenue increased 10.4% (increased 14.0% on a constant currency basis) to $1.2 billion compared to full year 2021. Revenue was driven by average daily trading volume of more than $1.1 trillion and record activity in each of the following: share of TRACE in fully electronic U.S. High Grade and U.S. High Yield credit; global portfolio trading; U.S. credit Tradeweb AllTrade; U.S. credit RFQ; emerging markets interest rate swaps and global institutional ETFs. Net income increased 31.7% to $359.6 million for the year ended December 31, 2022, compared to $273.1 million in </w:t>
      </w:r>
      <w:r>
        <w:rPr>
          <w:rFonts w:ascii="Arial" w:cs="Arial" w:eastAsia="Arial" w:hAnsi="Arial"/>
          <w:sz w:val="17"/>
          <w:szCs w:val="17"/>
          <w:color w:val="auto"/>
        </w:rPr>
        <w:t>2021</w:t>
      </w:r>
      <w:r>
        <w:rPr>
          <w:rFonts w:ascii="Arial" w:cs="Arial" w:eastAsia="Arial" w:hAnsi="Arial"/>
          <w:sz w:val="16"/>
          <w:szCs w:val="16"/>
          <w:color w:val="auto"/>
        </w:rPr>
        <w:t xml:space="preserve">. Adjusted EBITDA margin increased to 51.9% for the year ended December 31, 2022 compared to 50.8% in </w:t>
      </w:r>
      <w:r>
        <w:rPr>
          <w:rFonts w:ascii="Arial" w:cs="Arial" w:eastAsia="Arial" w:hAnsi="Arial"/>
          <w:sz w:val="17"/>
          <w:szCs w:val="17"/>
          <w:color w:val="auto"/>
        </w:rPr>
        <w:t>2021</w:t>
      </w:r>
      <w:r>
        <w:rPr>
          <w:rFonts w:ascii="Arial" w:cs="Arial" w:eastAsia="Arial" w:hAnsi="Arial"/>
          <w:sz w:val="16"/>
          <w:szCs w:val="16"/>
          <w:color w:val="auto"/>
        </w:rPr>
        <w:t>, representing an increase of 111 bps (113 bps on a constant currency basis). Diluted EPS increased 35.8% to $1.48 for the year ended December 31, 2022. Adjusted Diluted EPS increased 16.6% to $1.90 for the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27" w:lineRule="exact"/>
        <w:rPr>
          <w:sz w:val="20"/>
          <w:szCs w:val="20"/>
          <w:color w:val="auto"/>
        </w:rPr>
      </w:pPr>
    </w:p>
    <w:p>
      <w:pPr>
        <w:ind w:left="660" w:right="260" w:hanging="328"/>
        <w:spacing w:after="0" w:line="263" w:lineRule="auto"/>
        <w:tabs>
          <w:tab w:leader="none" w:pos="649"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On January 1, 2023 Billy Hult became CEO of Tradeweb and Thomas Pluta became the company’s President. Lee Olesky retired as Tradeweb's CEO on December 31, 2022 and continues to serve as non-executive Chairman of the Board</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$300 million share repurchase program</w:t>
      </w:r>
    </w:p>
    <w:p>
      <w:pPr>
        <w:spacing w:after="0" w:line="8" w:lineRule="exact"/>
        <w:rPr>
          <w:rFonts w:ascii="Arial" w:cs="Arial" w:eastAsia="Arial" w:hAnsi="Arial"/>
          <w:sz w:val="16"/>
          <w:szCs w:val="16"/>
          <w:color w:val="auto"/>
        </w:rPr>
      </w:pPr>
    </w:p>
    <w:p>
      <w:pPr>
        <w:ind w:left="660" w:right="80" w:hanging="328"/>
        <w:spacing w:after="0" w:line="25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partnership with BlackRock with the goal to seamlessly integrate Tradeweb’s credit trading solutions and data into BlackRock’s Aladdin order execution management system</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Facilitated the first non-deliverable interest rate swap trade in Taiwan Dollar (TWD) on the Tradeweb platform</w:t>
      </w:r>
    </w:p>
    <w:p>
      <w:pPr>
        <w:spacing w:after="0" w:line="18" w:lineRule="exact"/>
        <w:rPr>
          <w:rFonts w:ascii="Arial" w:cs="Arial" w:eastAsia="Arial" w:hAnsi="Arial"/>
          <w:sz w:val="16"/>
          <w:szCs w:val="16"/>
          <w:color w:val="auto"/>
        </w:rPr>
      </w:pPr>
    </w:p>
    <w:p>
      <w:pPr>
        <w:ind w:left="660" w:right="14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6"/>
          <w:szCs w:val="16"/>
          <w:color w:val="auto"/>
        </w:rPr>
        <w:t xml:space="preserve">Recognized in numerous awards celebrating our company, as well as our outstanding and diverse talent, including: </w:t>
      </w:r>
      <w:r>
        <w:rPr>
          <w:rFonts w:ascii="Arial" w:cs="Arial" w:eastAsia="Arial" w:hAnsi="Arial"/>
          <w:sz w:val="16"/>
          <w:szCs w:val="16"/>
          <w:i w:val="1"/>
          <w:iCs w:val="1"/>
          <w:color w:val="auto"/>
        </w:rPr>
        <w:t>Asia Capital Markets Awards,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Multi-Asset Trading System of the Year (Global Investor Group); Asia Capital Markets Awards, Fixed Income Trading System of the Year (Global Investor Group); RegTech Insight Awards APAC, Best Transaction Cost Analysis Solution for Best Execution (A-Team Group); U.S. Women in Finance Awards, Excellence in Trading Platforms </w:t>
      </w:r>
      <w:r>
        <w:rPr>
          <w:rFonts w:ascii="Arial" w:cs="Arial" w:eastAsia="Arial" w:hAnsi="Arial"/>
          <w:sz w:val="16"/>
          <w:szCs w:val="16"/>
          <w:color w:val="auto"/>
        </w:rPr>
        <w:t>-</w:t>
      </w:r>
      <w:r>
        <w:rPr>
          <w:rFonts w:ascii="Arial" w:cs="Arial" w:eastAsia="Arial" w:hAnsi="Arial"/>
          <w:sz w:val="16"/>
          <w:szCs w:val="16"/>
          <w:i w:val="1"/>
          <w:iCs w:val="1"/>
          <w:color w:val="auto"/>
        </w:rPr>
        <w:t xml:space="preserve"> Celeste Feehan (Markets Media); U.S. Women in Finance Awards, Excellence in Compliance - Devi Shanmugham (Markets Media); Notable Women on Wall Street - Erica Barrett (Crain's New York Business); 100 Most Influential Women in Finance - Zara Burrell (Financial News); European Women in Finance Awards, Rising Star - Oxana Young (Markets Media); European Women in Finance Awards, Excellence in Innovation - Serene Murphy (Markets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CAPITAL MANAGEMENT</w:t>
      </w:r>
    </w:p>
    <w:p>
      <w:pPr>
        <w:spacing w:after="0" w:line="11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$1.3 billion in cash and cash equivalents and an undrawn $500 million credit facility at December 31, 2022</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in the fourth quarter 2022 of $14.7 million and $60.1 million in full-year 2022</w:t>
      </w:r>
    </w:p>
    <w:p>
      <w:pPr>
        <w:spacing w:after="0" w:line="8" w:lineRule="exact"/>
        <w:rPr>
          <w:rFonts w:ascii="Arial" w:cs="Arial" w:eastAsia="Arial" w:hAnsi="Arial"/>
          <w:sz w:val="16"/>
          <w:szCs w:val="16"/>
          <w:color w:val="auto"/>
        </w:rPr>
      </w:pPr>
    </w:p>
    <w:p>
      <w:pPr>
        <w:ind w:left="660" w:right="66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Free cash flow for the year ended December 31, 2022 of $572.7 million, up 8.7% compared to prior year period. See “Non-GAAP Financial Measures” for additional information</w:t>
      </w:r>
    </w:p>
    <w:p>
      <w:pPr>
        <w:ind w:left="660" w:right="220" w:hanging="328"/>
        <w:spacing w:after="0" w:line="25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December 2022, Tradeweb announced a new $300 million share repurchase program after completing its prior $150 million share repurchase program announced in February 2021. During the fourth quarter of 2022, under both programs, Tradeweb purchased a total of 554,372 shares of Class A common stock, at an average price of $61.33, for purchases totaling $34.0 million. For full year 2022, under both programs, Tradeweb purchased a total of 1,347,067 shares of Class A common stock, at an average price of $73.73, for purchases totaling $99.3 million. As of December 31, 2022, a total of $275.0 million remained available for repurchase pursuant to the current share repurchase program</w:t>
      </w:r>
    </w:p>
    <w:p>
      <w:pPr>
        <w:spacing w:after="0" w:line="2" w:lineRule="exact"/>
        <w:rPr>
          <w:rFonts w:ascii="Arial" w:cs="Arial" w:eastAsia="Arial" w:hAnsi="Arial"/>
          <w:sz w:val="16"/>
          <w:szCs w:val="16"/>
          <w:color w:val="auto"/>
        </w:rPr>
      </w:pPr>
    </w:p>
    <w:p>
      <w:pPr>
        <w:ind w:left="660" w:right="180" w:hanging="328"/>
        <w:spacing w:after="0" w:line="25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$1.4 million in shares of Class A common stock were withheld in the fourth quarter of 2022 and $101.7 million in shares of Class A common stock were withheld in the full-year 2022 to satisfy tax obligations related to the exercise of stock options and vesting of restricted stock units and performance-based restricted stock units</w:t>
      </w:r>
    </w:p>
    <w:p>
      <w:pPr>
        <w:spacing w:after="0" w:line="2" w:lineRule="exact"/>
        <w:rPr>
          <w:rFonts w:ascii="Arial" w:cs="Arial" w:eastAsia="Arial" w:hAnsi="Arial"/>
          <w:sz w:val="16"/>
          <w:szCs w:val="16"/>
          <w:color w:val="auto"/>
        </w:rPr>
      </w:pPr>
    </w:p>
    <w:p>
      <w:pPr>
        <w:ind w:left="660" w:right="260" w:hanging="328"/>
        <w:spacing w:after="0" w:line="261" w:lineRule="auto"/>
        <w:tabs>
          <w:tab w:leader="none" w:pos="648" w:val="left"/>
        </w:tabs>
        <w:numPr>
          <w:ilvl w:val="0"/>
          <w:numId w:val="4"/>
        </w:numPr>
        <w:rPr>
          <w:rFonts w:ascii="Arial" w:cs="Arial" w:eastAsia="Arial" w:hAnsi="Arial"/>
          <w:sz w:val="20"/>
          <w:szCs w:val="20"/>
          <w:color w:val="00346B"/>
        </w:rPr>
      </w:pPr>
      <w:r>
        <w:rPr>
          <w:rFonts w:ascii="Arial" w:cs="Arial" w:eastAsia="Arial" w:hAnsi="Arial"/>
          <w:sz w:val="16"/>
          <w:szCs w:val="16"/>
          <w:color w:val="auto"/>
        </w:rPr>
        <w:t>The Board of Directors declared a quarterly cash dividend of $0.09 per share of Class A common stock and Class B common stock, a 12.5% per share increase from prior year. The dividend will be payable on March 15, 2023 to stockholders of record as of March 1, 2023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2023 Guidance*</w:t>
      </w:r>
    </w:p>
    <w:p>
      <w:pPr>
        <w:spacing w:after="0" w:line="12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Expenses: $669 - 714 million</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Acquisition and Refinitiv Transaction related depreciation and amortization expense: $127 million</w:t>
      </w:r>
    </w:p>
    <w:p>
      <w:pPr>
        <w:spacing w:after="0" w:line="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Assumed non-GAAP tax rate: ~24 - 25%</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Cash costs of capital expenditures and capitalized software development: $56 - 62 million</w:t>
      </w:r>
    </w:p>
    <w:p>
      <w:pPr>
        <w:spacing w:after="0" w:line="238" w:lineRule="exact"/>
        <w:rPr>
          <w:sz w:val="20"/>
          <w:szCs w:val="20"/>
          <w:color w:val="auto"/>
        </w:rPr>
      </w:pPr>
    </w:p>
    <w:p>
      <w:pPr>
        <w:ind w:left="340" w:right="400"/>
        <w:spacing w:after="0" w:line="302"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Tradeweb Markets will hold a conference call to discuss fourth quarter and full-year 2022 results starting at 9:30 AM EST today, February 2, 2023. A live, audio webcast of the conference call along with related materials will be available at </w:t>
      </w:r>
      <w:r>
        <w:rPr>
          <w:rFonts w:ascii="Arial" w:cs="Arial" w:eastAsia="Arial" w:hAnsi="Arial"/>
          <w:sz w:val="16"/>
          <w:szCs w:val="16"/>
          <w:u w:val="single" w:color="auto"/>
          <w:color w:val="0E32E1"/>
        </w:rPr>
        <w:t>http://investors.tradeweb.com</w:t>
      </w:r>
      <w:r>
        <w:rPr>
          <w:rFonts w:ascii="Arial" w:cs="Arial" w:eastAsia="Arial" w:hAnsi="Arial"/>
          <w:sz w:val="16"/>
          <w:szCs w:val="16"/>
          <w:color w:val="auto"/>
        </w:rPr>
        <w:t xml:space="preserve">. Alternatively, interested parties can access the call by registering at </w:t>
      </w:r>
      <w:r>
        <w:rPr>
          <w:rFonts w:ascii="Arial" w:cs="Arial" w:eastAsia="Arial" w:hAnsi="Arial"/>
          <w:sz w:val="16"/>
          <w:szCs w:val="16"/>
          <w:u w:val="single" w:color="auto"/>
          <w:color w:val="0E32E1"/>
        </w:rPr>
        <w:t>https://register.vevent.com/register/BI5b85a9d5b4f84eb4a6850a9743361194</w:t>
      </w:r>
      <w:r>
        <w:rPr>
          <w:rFonts w:ascii="Arial" w:cs="Arial" w:eastAsia="Arial" w:hAnsi="Arial"/>
          <w:sz w:val="16"/>
          <w:szCs w:val="16"/>
          <w:color w:val="auto"/>
        </w:rPr>
        <w:t>. Once registered, the participant will receive an email confirmation with the dial-in information and a personalized PIN to access the conference call. Only one person can use this PIN at a time. If you need additional PINs please register multiple times.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After the conference call, an archived recording will be available at </w:t>
      </w:r>
      <w:r>
        <w:rPr>
          <w:rFonts w:ascii="Arial" w:cs="Arial" w:eastAsia="Arial" w:hAnsi="Arial"/>
          <w:sz w:val="16"/>
          <w:szCs w:val="16"/>
          <w:u w:val="single" w:color="auto"/>
          <w:color w:val="0E32E1"/>
        </w:rPr>
        <w:t>http://investors.tradeweb.com</w:t>
      </w:r>
      <w:r>
        <w:rPr>
          <w:rFonts w:ascii="Arial" w:cs="Arial" w:eastAsia="Arial" w:hAnsi="Arial"/>
          <w:sz w:val="16"/>
          <w:szCs w:val="16"/>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$1.1 trillion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0E32E1"/>
        </w:rPr>
        <w: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5"/>
          </w:tcPr>
          <w:p>
            <w:pPr>
              <w:ind w:left="200"/>
              <w:spacing w:after="0"/>
              <w:rPr>
                <w:sz w:val="20"/>
                <w:szCs w:val="20"/>
                <w:color w:val="auto"/>
              </w:rPr>
            </w:pPr>
            <w:r>
              <w:rPr>
                <w:rFonts w:ascii="Arial" w:cs="Arial" w:eastAsia="Arial" w:hAnsi="Arial"/>
                <w:sz w:val="16"/>
                <w:szCs w:val="16"/>
                <w:b w:val="1"/>
                <w:bCs w:val="1"/>
                <w:color w:val="auto"/>
              </w:rPr>
              <w:t>Quarter Ended December 31,</w:t>
            </w:r>
          </w:p>
        </w:tc>
        <w:tc>
          <w:tcPr>
            <w:tcW w:w="220" w:type="dxa"/>
            <w:vAlign w:val="bottom"/>
          </w:tcPr>
          <w:p>
            <w:pPr>
              <w:spacing w:after="0"/>
              <w:rPr>
                <w:sz w:val="19"/>
                <w:szCs w:val="19"/>
                <w:color w:val="auto"/>
              </w:rPr>
            </w:pPr>
          </w:p>
        </w:tc>
        <w:tc>
          <w:tcPr>
            <w:tcW w:w="28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247"/>
        </w:trPr>
        <w:tc>
          <w:tcPr>
            <w:tcW w:w="4900" w:type="dxa"/>
            <w:vAlign w:val="bottom"/>
            <w:tcBorders>
              <w:bottom w:val="single" w:sz="8" w:color="D5DCE4"/>
            </w:tcBorders>
          </w:tcPr>
          <w:p>
            <w:pPr>
              <w:spacing w:after="0"/>
              <w:rPr>
                <w:sz w:val="21"/>
                <w:szCs w:val="21"/>
                <w:color w:val="auto"/>
              </w:rPr>
            </w:pPr>
          </w:p>
        </w:tc>
        <w:tc>
          <w:tcPr>
            <w:tcW w:w="80" w:type="dxa"/>
            <w:vAlign w:val="bottom"/>
            <w:tcBorders>
              <w:bottom w:val="single" w:sz="8" w:color="D5DCE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5DCE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5DCE4"/>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4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D5DCE4"/>
          </w:tcPr>
          <w:p>
            <w:pPr>
              <w:spacing w:after="0"/>
              <w:rPr>
                <w:sz w:val="20"/>
                <w:szCs w:val="20"/>
                <w:color w:val="auto"/>
              </w:rPr>
            </w:pP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40" w:type="dxa"/>
            <w:vAlign w:val="bottom"/>
            <w:shd w:val="clear" w:color="auto" w:fill="D5DCE4"/>
          </w:tcPr>
          <w:p>
            <w:pPr>
              <w:spacing w:after="0"/>
              <w:rPr>
                <w:sz w:val="20"/>
                <w:szCs w:val="20"/>
                <w:color w:val="auto"/>
              </w:rPr>
            </w:pPr>
          </w:p>
        </w:tc>
        <w:tc>
          <w:tcPr>
            <w:tcW w:w="128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3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232,780</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216,841</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950,269</w:t>
            </w:r>
          </w:p>
        </w:tc>
        <w:tc>
          <w:tcPr>
            <w:tcW w:w="8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846,354</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41,585</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41,307</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165,922</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158,448</w:t>
            </w: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Refinitiv market data fees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16,367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62,721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61,161</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2,310</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2,619</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9,869</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10,484</w:t>
            </w:r>
          </w:p>
        </w:tc>
      </w:tr>
      <w:tr>
        <w:trPr>
          <w:trHeight w:val="233"/>
        </w:trPr>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293,042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276,883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1,188,781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1,076,447</w:t>
            </w:r>
          </w:p>
        </w:tc>
      </w:tr>
      <w:tr>
        <w:trPr>
          <w:trHeight w:val="274"/>
        </w:trPr>
        <w:tc>
          <w:tcPr>
            <w:tcW w:w="49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4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r>
      <w:tr>
        <w:trPr>
          <w:trHeight w:val="23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101,820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107,153</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432,421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407,260</w:t>
            </w: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44,881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43,652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178,879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171,308</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17,231</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13,941</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65,857</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56,189</w:t>
            </w: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46,561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32,153</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11,932</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7,188</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37,764</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36,181</w:t>
            </w:r>
          </w:p>
        </w:tc>
      </w:tr>
      <w:tr>
        <w:trPr>
          <w:trHeight w:val="237"/>
        </w:trPr>
        <w:tc>
          <w:tcPr>
            <w:tcW w:w="490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3,424</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14,726</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14,528</w:t>
            </w:r>
          </w:p>
        </w:tc>
      </w:tr>
      <w:tr>
        <w:trPr>
          <w:trHeight w:val="243"/>
        </w:trPr>
        <w:tc>
          <w:tcPr>
            <w:tcW w:w="490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201,488</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185,702</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776,208</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717,619</w:t>
            </w: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91,554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91,181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412,573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358,828</w:t>
            </w:r>
          </w:p>
        </w:tc>
      </w:tr>
      <w:tr>
        <w:trPr>
          <w:trHeight w:val="24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Tax receivable agreement liability adjustment</w:t>
            </w:r>
          </w:p>
        </w:tc>
        <w:tc>
          <w:tcPr>
            <w:tcW w:w="80" w:type="dxa"/>
            <w:vAlign w:val="bottom"/>
            <w:shd w:val="clear" w:color="auto" w:fill="DBDBDB"/>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13,653</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12,745</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13,653</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12,745</w:t>
            </w: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Net interest income (expense)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11,907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(1,590)</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Income (loss) from investments</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36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80" w:type="dxa"/>
            <w:vAlign w:val="bottom"/>
            <w:tcBorders>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112,607</w:t>
            </w:r>
          </w:p>
        </w:tc>
        <w:tc>
          <w:tcPr>
            <w:tcW w:w="80" w:type="dxa"/>
            <w:vAlign w:val="bottom"/>
            <w:tcBorders>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103,515</w:t>
            </w:r>
          </w:p>
        </w:tc>
        <w:tc>
          <w:tcPr>
            <w:tcW w:w="80" w:type="dxa"/>
            <w:vAlign w:val="bottom"/>
            <w:tcBorders>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437,133</w:t>
            </w:r>
          </w:p>
        </w:tc>
        <w:tc>
          <w:tcPr>
            <w:tcW w:w="80" w:type="dxa"/>
            <w:vAlign w:val="bottom"/>
            <w:tcBorders>
              <w:bottom w:val="single" w:sz="8" w:color="D5DCE4"/>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369,983</w:t>
            </w:r>
          </w:p>
        </w:tc>
      </w:tr>
      <w:tr>
        <w:trPr>
          <w:trHeight w:val="24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(13,605)</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(43,510)</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(77,520)</w:t>
            </w:r>
          </w:p>
        </w:tc>
        <w:tc>
          <w:tcPr>
            <w:tcW w:w="80" w:type="dxa"/>
            <w:vAlign w:val="bottom"/>
            <w:shd w:val="clear" w:color="auto" w:fill="D5DCE4"/>
          </w:tcPr>
          <w:p>
            <w:pPr>
              <w:spacing w:after="0"/>
              <w:rPr>
                <w:sz w:val="20"/>
                <w:szCs w:val="20"/>
                <w:color w:val="auto"/>
              </w:rPr>
            </w:pPr>
          </w:p>
        </w:tc>
        <w:tc>
          <w:tcPr>
            <w:tcW w:w="2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(96,875)</w:t>
            </w: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99,002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60,005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359,613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273,108</w:t>
            </w:r>
          </w:p>
        </w:tc>
      </w:tr>
      <w:tr>
        <w:trPr>
          <w:trHeight w:val="24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10,056</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11,115</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50,275</w:t>
            </w:r>
          </w:p>
        </w:tc>
        <w:tc>
          <w:tcPr>
            <w:tcW w:w="80" w:type="dxa"/>
            <w:vAlign w:val="bottom"/>
            <w:shd w:val="clear" w:color="auto" w:fill="D5DCE4"/>
          </w:tcPr>
          <w:p>
            <w:pPr>
              <w:spacing w:after="0"/>
              <w:rPr>
                <w:sz w:val="20"/>
                <w:szCs w:val="20"/>
                <w:color w:val="auto"/>
              </w:rPr>
            </w:pPr>
          </w:p>
        </w:tc>
        <w:tc>
          <w:tcPr>
            <w:tcW w:w="2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46,280</w:t>
            </w:r>
          </w:p>
        </w:tc>
      </w:tr>
      <w:tr>
        <w:trPr>
          <w:trHeight w:val="24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3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88,946</w:t>
            </w:r>
          </w:p>
        </w:tc>
        <w:tc>
          <w:tcPr>
            <w:tcW w:w="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48,890</w:t>
            </w:r>
          </w:p>
        </w:tc>
        <w:tc>
          <w:tcPr>
            <w:tcW w:w="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309,338</w:t>
            </w:r>
          </w:p>
        </w:tc>
        <w:tc>
          <w:tcPr>
            <w:tcW w:w="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226,828</w:t>
            </w:r>
          </w:p>
        </w:tc>
      </w:tr>
      <w:tr>
        <w:trPr>
          <w:trHeight w:val="20"/>
        </w:trPr>
        <w:tc>
          <w:tcPr>
            <w:tcW w:w="49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9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2"/>
        </w:trPr>
        <w:tc>
          <w:tcPr>
            <w:tcW w:w="4900" w:type="dxa"/>
            <w:vAlign w:val="bottom"/>
          </w:tcPr>
          <w:p>
            <w:pPr>
              <w:ind w:left="20"/>
              <w:spacing w:after="0"/>
              <w:rPr>
                <w:sz w:val="20"/>
                <w:szCs w:val="20"/>
                <w:color w:val="auto"/>
              </w:rPr>
            </w:pPr>
            <w:r>
              <w:rPr>
                <w:rFonts w:ascii="Arial" w:cs="Arial" w:eastAsia="Arial" w:hAnsi="Arial"/>
                <w:sz w:val="16"/>
                <w:szCs w:val="16"/>
                <w:color w:val="auto"/>
              </w:rPr>
              <w:t>and B common stockholders: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1"/>
        </w:trPr>
        <w:tc>
          <w:tcPr>
            <w:tcW w:w="490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80" w:type="dxa"/>
            <w:vAlign w:val="bottom"/>
            <w:tcBorders>
              <w:bottom w:val="single" w:sz="8" w:color="D5DCE4"/>
            </w:tcBorders>
            <w:shd w:val="clear" w:color="auto" w:fill="D5DCE4"/>
          </w:tcPr>
          <w:p>
            <w:pPr>
              <w:spacing w:after="0"/>
              <w:rPr>
                <w:sz w:val="23"/>
                <w:szCs w:val="23"/>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0.43</w:t>
            </w:r>
          </w:p>
        </w:tc>
        <w:tc>
          <w:tcPr>
            <w:tcW w:w="80" w:type="dxa"/>
            <w:vAlign w:val="bottom"/>
            <w:tcBorders>
              <w:bottom w:val="single" w:sz="8" w:color="D5DCE4"/>
            </w:tcBorders>
            <w:shd w:val="clear" w:color="auto" w:fill="D5DCE4"/>
          </w:tcPr>
          <w:p>
            <w:pPr>
              <w:spacing w:after="0"/>
              <w:rPr>
                <w:sz w:val="23"/>
                <w:szCs w:val="23"/>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0.24</w:t>
            </w:r>
          </w:p>
        </w:tc>
        <w:tc>
          <w:tcPr>
            <w:tcW w:w="80" w:type="dxa"/>
            <w:vAlign w:val="bottom"/>
            <w:tcBorders>
              <w:bottom w:val="single" w:sz="8" w:color="D5DCE4"/>
            </w:tcBorders>
            <w:shd w:val="clear" w:color="auto" w:fill="D5DCE4"/>
          </w:tcPr>
          <w:p>
            <w:pPr>
              <w:spacing w:after="0"/>
              <w:rPr>
                <w:sz w:val="23"/>
                <w:szCs w:val="23"/>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1.50</w:t>
            </w:r>
          </w:p>
        </w:tc>
        <w:tc>
          <w:tcPr>
            <w:tcW w:w="80" w:type="dxa"/>
            <w:vAlign w:val="bottom"/>
            <w:tcBorders>
              <w:bottom w:val="single" w:sz="8" w:color="D5DCE4"/>
            </w:tcBorders>
            <w:shd w:val="clear" w:color="auto" w:fill="D5DCE4"/>
          </w:tcPr>
          <w:p>
            <w:pPr>
              <w:spacing w:after="0"/>
              <w:rPr>
                <w:sz w:val="23"/>
                <w:szCs w:val="23"/>
                <w:color w:val="auto"/>
              </w:rPr>
            </w:pPr>
          </w:p>
        </w:tc>
        <w:tc>
          <w:tcPr>
            <w:tcW w:w="24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7"/>
        </w:trPr>
        <w:tc>
          <w:tcPr>
            <w:tcW w:w="4900" w:type="dxa"/>
            <w:vAlign w:val="bottom"/>
          </w:tcPr>
          <w:p>
            <w:pPr>
              <w:ind w:left="140"/>
              <w:spacing w:after="0"/>
              <w:rPr>
                <w:sz w:val="20"/>
                <w:szCs w:val="20"/>
                <w:color w:val="auto"/>
              </w:rPr>
            </w:pPr>
            <w:r>
              <w:rPr>
                <w:rFonts w:ascii="Arial" w:cs="Arial" w:eastAsia="Arial" w:hAnsi="Arial"/>
                <w:sz w:val="16"/>
                <w:szCs w:val="16"/>
                <w:color w:val="auto"/>
              </w:rPr>
              <w:t>Diluted</w:t>
            </w:r>
          </w:p>
        </w:tc>
        <w:tc>
          <w:tcPr>
            <w:tcW w:w="3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0"/>
        </w:trPr>
        <w:tc>
          <w:tcPr>
            <w:tcW w:w="49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4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r>
      <w:tr>
        <w:trPr>
          <w:trHeight w:val="235"/>
        </w:trPr>
        <w:tc>
          <w:tcPr>
            <w:tcW w:w="4900" w:type="dxa"/>
            <w:vAlign w:val="bottom"/>
          </w:tcPr>
          <w:p>
            <w:pPr>
              <w:ind w:left="14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207,978,371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202,576,021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205,576,637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201,419,081</w:t>
            </w:r>
          </w:p>
        </w:tc>
      </w:tr>
      <w:tr>
        <w:trPr>
          <w:trHeight w:val="251"/>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210,329,656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208,282,322</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208,400,040</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207,254,840</w:t>
            </w:r>
          </w:p>
        </w:tc>
      </w:tr>
    </w:tbl>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300" w:type="dxa"/>
            <w:vAlign w:val="bottom"/>
          </w:tcPr>
          <w:p>
            <w:pPr>
              <w:spacing w:after="0"/>
              <w:rPr>
                <w:sz w:val="17"/>
                <w:szCs w:val="17"/>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6"/>
                <w:szCs w:val="16"/>
                <w:b w:val="1"/>
                <w:bCs w:val="1"/>
                <w:color w:val="auto"/>
              </w:rPr>
              <w:t>Quarter Ended December 31,</w:t>
            </w:r>
          </w:p>
        </w:tc>
        <w:tc>
          <w:tcPr>
            <w:tcW w:w="360" w:type="dxa"/>
            <w:vAlign w:val="bottom"/>
          </w:tcPr>
          <w:p>
            <w:pPr>
              <w:spacing w:after="0"/>
              <w:rPr>
                <w:sz w:val="17"/>
                <w:szCs w:val="17"/>
                <w:color w:val="auto"/>
              </w:rPr>
            </w:pPr>
          </w:p>
        </w:tc>
        <w:tc>
          <w:tcPr>
            <w:tcW w:w="2860" w:type="dxa"/>
            <w:vAlign w:val="bottom"/>
            <w:gridSpan w:val="4"/>
            <w:vMerge w:val="restart"/>
          </w:tcPr>
          <w:p>
            <w:pPr>
              <w:jc w:val="right"/>
              <w:ind w:right="53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88"/>
        </w:trPr>
        <w:tc>
          <w:tcPr>
            <w:tcW w:w="4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Adjusted EBITDA Margin, Adjusted EBIT and Adjusted</w:t>
            </w:r>
          </w:p>
        </w:tc>
        <w:tc>
          <w:tcPr>
            <w:tcW w:w="300" w:type="dxa"/>
            <w:vAlign w:val="bottom"/>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360" w:type="dxa"/>
            <w:vAlign w:val="bottom"/>
          </w:tcPr>
          <w:p>
            <w:pPr>
              <w:spacing w:after="0"/>
              <w:rPr>
                <w:sz w:val="7"/>
                <w:szCs w:val="7"/>
                <w:color w:val="auto"/>
              </w:rPr>
            </w:pPr>
          </w:p>
        </w:tc>
        <w:tc>
          <w:tcPr>
            <w:tcW w:w="28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7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EBIT Margin</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77"/>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ind w:left="40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99,002</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60,005</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359,613</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273,108</w:t>
            </w:r>
          </w:p>
        </w:tc>
        <w:tc>
          <w:tcPr>
            <w:tcW w:w="0" w:type="dxa"/>
            <w:vAlign w:val="bottom"/>
          </w:tcPr>
          <w:p>
            <w:pPr>
              <w:spacing w:after="0"/>
              <w:rPr>
                <w:sz w:val="1"/>
                <w:szCs w:val="1"/>
                <w:color w:val="auto"/>
              </w:rPr>
            </w:pPr>
          </w:p>
        </w:tc>
      </w:tr>
      <w:tr>
        <w:trPr>
          <w:trHeight w:val="270"/>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1,029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1,069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5,073</w:t>
            </w: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300" w:type="dxa"/>
            <w:vAlign w:val="bottom"/>
            <w:shd w:val="clear" w:color="auto" w:fill="D5DCE4"/>
          </w:tcPr>
          <w:p>
            <w:pPr>
              <w:spacing w:after="0"/>
              <w:rPr>
                <w:sz w:val="21"/>
                <w:szCs w:val="21"/>
                <w:color w:val="auto"/>
              </w:rPr>
            </w:pPr>
          </w:p>
        </w:tc>
        <w:tc>
          <w:tcPr>
            <w:tcW w:w="12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(8,400)</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411</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(11,907)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235"/>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44,881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43,652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178,879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171,308</w:t>
            </w:r>
          </w:p>
        </w:tc>
        <w:tc>
          <w:tcPr>
            <w:tcW w:w="0" w:type="dxa"/>
            <w:vAlign w:val="bottom"/>
          </w:tcPr>
          <w:p>
            <w:pPr>
              <w:spacing w:after="0"/>
              <w:rPr>
                <w:sz w:val="1"/>
                <w:szCs w:val="1"/>
                <w:color w:val="auto"/>
              </w:rPr>
            </w:pPr>
          </w:p>
        </w:tc>
      </w:tr>
      <w:tr>
        <w:trPr>
          <w:trHeight w:val="251"/>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300" w:type="dxa"/>
            <w:vAlign w:val="bottom"/>
            <w:shd w:val="clear" w:color="auto" w:fill="D5DCE4"/>
          </w:tcPr>
          <w:p>
            <w:pPr>
              <w:spacing w:after="0"/>
              <w:rPr>
                <w:sz w:val="21"/>
                <w:szCs w:val="21"/>
                <w:color w:val="auto"/>
              </w:rPr>
            </w:pPr>
          </w:p>
        </w:tc>
        <w:tc>
          <w:tcPr>
            <w:tcW w:w="12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6,570</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5,328</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20,409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16,509</w:t>
            </w:r>
          </w:p>
        </w:tc>
        <w:tc>
          <w:tcPr>
            <w:tcW w:w="0" w:type="dxa"/>
            <w:vAlign w:val="bottom"/>
          </w:tcPr>
          <w:p>
            <w:pPr>
              <w:spacing w:after="0"/>
              <w:rPr>
                <w:sz w:val="1"/>
                <w:szCs w:val="1"/>
                <w:color w:val="auto"/>
              </w:rPr>
            </w:pPr>
          </w:p>
        </w:tc>
      </w:tr>
      <w:tr>
        <w:trPr>
          <w:trHeight w:val="235"/>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13,605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43,510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77,520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96,875</w:t>
            </w:r>
          </w:p>
        </w:tc>
        <w:tc>
          <w:tcPr>
            <w:tcW w:w="0" w:type="dxa"/>
            <w:vAlign w:val="bottom"/>
          </w:tcPr>
          <w:p>
            <w:pPr>
              <w:spacing w:after="0"/>
              <w:rPr>
                <w:sz w:val="1"/>
                <w:szCs w:val="1"/>
                <w:color w:val="auto"/>
              </w:rPr>
            </w:pPr>
          </w:p>
        </w:tc>
      </w:tr>
      <w:tr>
        <w:trPr>
          <w:trHeight w:val="251"/>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300" w:type="dxa"/>
            <w:vAlign w:val="bottom"/>
            <w:shd w:val="clear" w:color="auto" w:fill="D5DCE4"/>
          </w:tcPr>
          <w:p>
            <w:pPr>
              <w:spacing w:after="0"/>
              <w:rPr>
                <w:sz w:val="21"/>
                <w:szCs w:val="21"/>
                <w:color w:val="auto"/>
              </w:rPr>
            </w:pPr>
          </w:p>
        </w:tc>
        <w:tc>
          <w:tcPr>
            <w:tcW w:w="12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10,715</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40</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4,409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(4,702)</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30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(13,653)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(12,745)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(13,653)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(12,745)</w:t>
            </w:r>
          </w:p>
        </w:tc>
        <w:tc>
          <w:tcPr>
            <w:tcW w:w="0" w:type="dxa"/>
            <w:vAlign w:val="bottom"/>
          </w:tcPr>
          <w:p>
            <w:pPr>
              <w:spacing w:after="0"/>
              <w:rPr>
                <w:sz w:val="1"/>
                <w:szCs w:val="1"/>
                <w:color w:val="auto"/>
              </w:rPr>
            </w:pPr>
          </w:p>
        </w:tc>
      </w:tr>
      <w:tr>
        <w:trPr>
          <w:trHeight w:val="237"/>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(Income) loss from investments</w:t>
            </w:r>
          </w:p>
        </w:tc>
        <w:tc>
          <w:tcPr>
            <w:tcW w:w="300" w:type="dxa"/>
            <w:vAlign w:val="bottom"/>
            <w:shd w:val="clear" w:color="auto" w:fill="D5DCE4"/>
          </w:tcPr>
          <w:p>
            <w:pPr>
              <w:spacing w:after="0"/>
              <w:rPr>
                <w:sz w:val="20"/>
                <w:szCs w:val="20"/>
                <w:color w:val="auto"/>
              </w:rPr>
            </w:pPr>
          </w:p>
        </w:tc>
        <w:tc>
          <w:tcPr>
            <w:tcW w:w="12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8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154,749</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140,088</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617,339</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547,016</w:t>
            </w:r>
          </w:p>
        </w:tc>
        <w:tc>
          <w:tcPr>
            <w:tcW w:w="0" w:type="dxa"/>
            <w:vAlign w:val="bottom"/>
          </w:tcPr>
          <w:p>
            <w:pPr>
              <w:spacing w:after="0"/>
              <w:rPr>
                <w:sz w:val="1"/>
                <w:szCs w:val="1"/>
                <w:color w:val="auto"/>
              </w:rPr>
            </w:pPr>
          </w:p>
        </w:tc>
      </w:tr>
      <w:tr>
        <w:trPr>
          <w:trHeight w:val="20"/>
        </w:trPr>
        <w:tc>
          <w:tcPr>
            <w:tcW w:w="454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D5DC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Depreciation and amortization</w:t>
            </w:r>
          </w:p>
        </w:tc>
        <w:tc>
          <w:tcPr>
            <w:tcW w:w="300" w:type="dxa"/>
            <w:vAlign w:val="bottom"/>
            <w:shd w:val="clear" w:color="auto" w:fill="D5DCE4"/>
          </w:tcPr>
          <w:p>
            <w:pPr>
              <w:spacing w:after="0"/>
              <w:rPr>
                <w:sz w:val="20"/>
                <w:szCs w:val="20"/>
                <w:color w:val="auto"/>
              </w:rPr>
            </w:pPr>
          </w:p>
        </w:tc>
        <w:tc>
          <w:tcPr>
            <w:tcW w:w="12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(44,881)</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0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(43,652)</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(178,879)</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(171,308)</w:t>
            </w:r>
          </w:p>
        </w:tc>
        <w:tc>
          <w:tcPr>
            <w:tcW w:w="0" w:type="dxa"/>
            <w:vAlign w:val="bottom"/>
          </w:tcPr>
          <w:p>
            <w:pPr>
              <w:spacing w:after="0"/>
              <w:rPr>
                <w:sz w:val="1"/>
                <w:szCs w:val="1"/>
                <w:color w:val="auto"/>
              </w:rPr>
            </w:pPr>
          </w:p>
        </w:tc>
      </w:tr>
      <w:tr>
        <w:trPr>
          <w:trHeight w:val="175"/>
        </w:trPr>
        <w:tc>
          <w:tcPr>
            <w:tcW w:w="47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Add: D&amp;A related to acquisitions and the Refinitiv Transaction</w:t>
            </w:r>
          </w:p>
        </w:tc>
        <w:tc>
          <w:tcPr>
            <w:tcW w:w="300" w:type="dxa"/>
            <w:vAlign w:val="bottom"/>
          </w:tcPr>
          <w:p>
            <w:pPr>
              <w:spacing w:after="0"/>
              <w:rPr>
                <w:sz w:val="15"/>
                <w:szCs w:val="15"/>
                <w:color w:val="auto"/>
              </w:rPr>
            </w:pPr>
          </w:p>
        </w:tc>
        <w:tc>
          <w:tcPr>
            <w:tcW w:w="1260" w:type="dxa"/>
            <w:vAlign w:val="bottom"/>
            <w:vMerge w:val="restart"/>
          </w:tcPr>
          <w:p>
            <w:pPr>
              <w:jc w:val="right"/>
              <w:ind w:right="119"/>
              <w:spacing w:after="0"/>
              <w:rPr>
                <w:sz w:val="20"/>
                <w:szCs w:val="20"/>
                <w:color w:val="auto"/>
              </w:rPr>
            </w:pPr>
            <w:r>
              <w:rPr>
                <w:rFonts w:ascii="Arial" w:cs="Arial" w:eastAsia="Arial" w:hAnsi="Arial"/>
                <w:sz w:val="16"/>
                <w:szCs w:val="16"/>
                <w:color w:val="auto"/>
              </w:rPr>
              <w:t>31,571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color w:val="auto"/>
              </w:rPr>
              <w:t>31,781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color w:val="auto"/>
              </w:rPr>
              <w:t>126,659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124,580</w:t>
            </w:r>
          </w:p>
        </w:tc>
        <w:tc>
          <w:tcPr>
            <w:tcW w:w="0" w:type="dxa"/>
            <w:vAlign w:val="bottom"/>
          </w:tcPr>
          <w:p>
            <w:pPr>
              <w:spacing w:after="0"/>
              <w:rPr>
                <w:sz w:val="1"/>
                <w:szCs w:val="1"/>
                <w:color w:val="auto"/>
              </w:rPr>
            </w:pPr>
          </w:p>
        </w:tc>
      </w:tr>
      <w:tr>
        <w:trPr>
          <w:trHeight w:val="135"/>
        </w:trPr>
        <w:tc>
          <w:tcPr>
            <w:tcW w:w="4540" w:type="dxa"/>
            <w:vAlign w:val="bottom"/>
          </w:tcPr>
          <w:p>
            <w:pPr>
              <w:ind w:left="20"/>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540" w:type="dxa"/>
            <w:vAlign w:val="bottom"/>
            <w:tcBorders>
              <w:bottom w:val="single" w:sz="8" w:color="D5DCE4"/>
            </w:tcBorders>
          </w:tcPr>
          <w:p>
            <w:pPr>
              <w:spacing w:after="0"/>
              <w:rPr>
                <w:sz w:val="5"/>
                <w:szCs w:val="5"/>
                <w:color w:val="auto"/>
              </w:rPr>
            </w:pPr>
          </w:p>
        </w:tc>
        <w:tc>
          <w:tcPr>
            <w:tcW w:w="200" w:type="dxa"/>
            <w:vAlign w:val="bottom"/>
            <w:tcBorders>
              <w:bottom w:val="single" w:sz="8" w:color="D5DCE4"/>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5DCE4"/>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474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EBIT</w:t>
            </w:r>
          </w:p>
        </w:tc>
        <w:tc>
          <w:tcPr>
            <w:tcW w:w="30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141,439</w:t>
            </w:r>
          </w:p>
        </w:tc>
        <w:tc>
          <w:tcPr>
            <w:tcW w:w="80" w:type="dxa"/>
            <w:vAlign w:val="bottom"/>
            <w:tcBorders>
              <w:bottom w:val="single" w:sz="8" w:color="D5DCE4"/>
            </w:tcBorders>
            <w:shd w:val="clear" w:color="auto" w:fill="D5DCE4"/>
          </w:tcPr>
          <w:p>
            <w:pPr>
              <w:spacing w:after="0"/>
              <w:rPr>
                <w:sz w:val="22"/>
                <w:szCs w:val="22"/>
                <w:color w:val="auto"/>
              </w:rPr>
            </w:pPr>
          </w:p>
        </w:tc>
        <w:tc>
          <w:tcPr>
            <w:tcW w:w="36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128,217</w:t>
            </w:r>
          </w:p>
        </w:tc>
        <w:tc>
          <w:tcPr>
            <w:tcW w:w="80" w:type="dxa"/>
            <w:vAlign w:val="bottom"/>
            <w:tcBorders>
              <w:bottom w:val="single" w:sz="8" w:color="D5DCE4"/>
            </w:tcBorders>
            <w:shd w:val="clear" w:color="auto" w:fill="D5DCE4"/>
          </w:tcPr>
          <w:p>
            <w:pPr>
              <w:spacing w:after="0"/>
              <w:rPr>
                <w:sz w:val="22"/>
                <w:szCs w:val="22"/>
                <w:color w:val="auto"/>
              </w:rPr>
            </w:pPr>
          </w:p>
        </w:tc>
        <w:tc>
          <w:tcPr>
            <w:tcW w:w="360" w:type="dxa"/>
            <w:vAlign w:val="bottom"/>
            <w:tcBorders>
              <w:bottom w:val="single" w:sz="8" w:color="auto"/>
            </w:tcBorders>
            <w:shd w:val="clear" w:color="auto" w:fill="D5DC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565,119</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500,288</w:t>
            </w:r>
          </w:p>
        </w:tc>
        <w:tc>
          <w:tcPr>
            <w:tcW w:w="0" w:type="dxa"/>
            <w:vAlign w:val="bottom"/>
          </w:tcPr>
          <w:p>
            <w:pPr>
              <w:spacing w:after="0"/>
              <w:rPr>
                <w:sz w:val="1"/>
                <w:szCs w:val="1"/>
                <w:color w:val="auto"/>
              </w:rPr>
            </w:pPr>
          </w:p>
        </w:tc>
      </w:tr>
      <w:tr>
        <w:trPr>
          <w:trHeight w:val="20"/>
        </w:trPr>
        <w:tc>
          <w:tcPr>
            <w:tcW w:w="454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D5DCE4"/>
              <w:bottom w:val="single" w:sz="8" w:color="auto"/>
            </w:tcBorders>
          </w:tcPr>
          <w:p>
            <w:pPr>
              <w:spacing w:after="0" w:line="20" w:lineRule="exact"/>
              <w:rPr>
                <w:sz w:val="1"/>
                <w:szCs w:val="1"/>
                <w:color w:val="auto"/>
              </w:rPr>
            </w:pPr>
          </w:p>
        </w:tc>
        <w:tc>
          <w:tcPr>
            <w:tcW w:w="12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ind w:left="20"/>
              <w:spacing w:after="0"/>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2980" w:type="dxa"/>
            <w:vAlign w:val="bottom"/>
          </w:tcPr>
          <w:p>
            <w:pPr>
              <w:jc w:val="right"/>
              <w:ind w:right="499"/>
              <w:spacing w:after="0"/>
              <w:rPr>
                <w:sz w:val="20"/>
                <w:szCs w:val="20"/>
                <w:color w:val="auto"/>
              </w:rPr>
            </w:pPr>
            <w:r>
              <w:rPr>
                <w:rFonts w:ascii="Arial" w:cs="Arial" w:eastAsia="Arial" w:hAnsi="Arial"/>
                <w:sz w:val="16"/>
                <w:szCs w:val="16"/>
                <w:color w:val="auto"/>
              </w:rPr>
              <w:t>33.8 %</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21.7 %</w:t>
            </w: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30.3 %</w:t>
            </w:r>
          </w:p>
        </w:tc>
        <w:tc>
          <w:tcPr>
            <w:tcW w:w="1100" w:type="dxa"/>
            <w:vAlign w:val="bottom"/>
          </w:tcPr>
          <w:p>
            <w:pPr>
              <w:jc w:val="right"/>
              <w:spacing w:after="0"/>
              <w:rPr>
                <w:sz w:val="20"/>
                <w:szCs w:val="20"/>
                <w:color w:val="auto"/>
              </w:rPr>
            </w:pPr>
            <w:r>
              <w:rPr>
                <w:rFonts w:ascii="Arial" w:cs="Arial" w:eastAsia="Arial" w:hAnsi="Arial"/>
                <w:sz w:val="16"/>
                <w:szCs w:val="16"/>
                <w:color w:val="auto"/>
              </w:rPr>
              <w:t>25.4 %</w:t>
            </w:r>
          </w:p>
        </w:tc>
      </w:tr>
      <w:tr>
        <w:trPr>
          <w:trHeight w:val="243"/>
        </w:trPr>
        <w:tc>
          <w:tcPr>
            <w:tcW w:w="38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2980" w:type="dxa"/>
            <w:vAlign w:val="bottom"/>
            <w:shd w:val="clear" w:color="auto" w:fill="D5DCE4"/>
          </w:tcPr>
          <w:p>
            <w:pPr>
              <w:jc w:val="right"/>
              <w:ind w:right="499"/>
              <w:spacing w:after="0"/>
              <w:rPr>
                <w:sz w:val="20"/>
                <w:szCs w:val="20"/>
                <w:color w:val="auto"/>
              </w:rPr>
            </w:pPr>
            <w:r>
              <w:rPr>
                <w:rFonts w:ascii="Arial" w:cs="Arial" w:eastAsia="Arial" w:hAnsi="Arial"/>
                <w:sz w:val="16"/>
                <w:szCs w:val="16"/>
                <w:color w:val="auto"/>
              </w:rPr>
              <w:t>52.8 %</w:t>
            </w:r>
          </w:p>
        </w:tc>
        <w:tc>
          <w:tcPr>
            <w:tcW w:w="1640" w:type="dxa"/>
            <w:vAlign w:val="bottom"/>
            <w:shd w:val="clear" w:color="auto" w:fill="D5DCE4"/>
          </w:tcPr>
          <w:p>
            <w:pPr>
              <w:jc w:val="right"/>
              <w:ind w:right="499"/>
              <w:spacing w:after="0"/>
              <w:rPr>
                <w:sz w:val="20"/>
                <w:szCs w:val="20"/>
                <w:color w:val="auto"/>
              </w:rPr>
            </w:pPr>
            <w:r>
              <w:rPr>
                <w:rFonts w:ascii="Arial" w:cs="Arial" w:eastAsia="Arial" w:hAnsi="Arial"/>
                <w:sz w:val="16"/>
                <w:szCs w:val="16"/>
                <w:color w:val="auto"/>
              </w:rPr>
              <w:t>50.6 %</w:t>
            </w:r>
          </w:p>
        </w:tc>
        <w:tc>
          <w:tcPr>
            <w:tcW w:w="1640" w:type="dxa"/>
            <w:vAlign w:val="bottom"/>
            <w:shd w:val="clear" w:color="auto" w:fill="D5DCE4"/>
          </w:tcPr>
          <w:p>
            <w:pPr>
              <w:jc w:val="right"/>
              <w:ind w:right="479"/>
              <w:spacing w:after="0"/>
              <w:rPr>
                <w:sz w:val="20"/>
                <w:szCs w:val="20"/>
                <w:color w:val="auto"/>
              </w:rPr>
            </w:pPr>
            <w:r>
              <w:rPr>
                <w:rFonts w:ascii="Arial" w:cs="Arial" w:eastAsia="Arial" w:hAnsi="Arial"/>
                <w:sz w:val="16"/>
                <w:szCs w:val="16"/>
                <w:color w:val="auto"/>
              </w:rPr>
              <w:t>51.9 %</w:t>
            </w: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50.8 %</w:t>
            </w:r>
          </w:p>
        </w:tc>
      </w:tr>
      <w:tr>
        <w:trPr>
          <w:trHeight w:val="298"/>
        </w:trPr>
        <w:tc>
          <w:tcPr>
            <w:tcW w:w="3880" w:type="dxa"/>
            <w:vAlign w:val="bottom"/>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2980" w:type="dxa"/>
            <w:vAlign w:val="bottom"/>
          </w:tcPr>
          <w:p>
            <w:pPr>
              <w:jc w:val="right"/>
              <w:ind w:right="499"/>
              <w:spacing w:after="0"/>
              <w:rPr>
                <w:sz w:val="20"/>
                <w:szCs w:val="20"/>
                <w:color w:val="auto"/>
              </w:rPr>
            </w:pPr>
            <w:r>
              <w:rPr>
                <w:rFonts w:ascii="Arial" w:cs="Arial" w:eastAsia="Arial" w:hAnsi="Arial"/>
                <w:sz w:val="16"/>
                <w:szCs w:val="16"/>
                <w:color w:val="auto"/>
              </w:rPr>
              <w:t>48.3 %</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46.3 %</w:t>
            </w: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47.5 %</w:t>
            </w:r>
          </w:p>
        </w:tc>
        <w:tc>
          <w:tcPr>
            <w:tcW w:w="1100" w:type="dxa"/>
            <w:vAlign w:val="bottom"/>
          </w:tcPr>
          <w:p>
            <w:pPr>
              <w:jc w:val="right"/>
              <w:spacing w:after="0"/>
              <w:rPr>
                <w:sz w:val="20"/>
                <w:szCs w:val="20"/>
                <w:color w:val="auto"/>
              </w:rPr>
            </w:pPr>
            <w:r>
              <w:rPr>
                <w:rFonts w:ascii="Arial" w:cs="Arial" w:eastAsia="Arial" w:hAnsi="Arial"/>
                <w:sz w:val="16"/>
                <w:szCs w:val="16"/>
                <w:color w:val="auto"/>
              </w:rPr>
              <w:t>46.5 %</w:t>
            </w:r>
          </w:p>
        </w:tc>
      </w:tr>
    </w:tbl>
    <w:p>
      <w:pPr>
        <w:spacing w:after="0" w:line="72" w:lineRule="exact"/>
        <w:rPr>
          <w:sz w:val="20"/>
          <w:szCs w:val="20"/>
          <w:color w:val="auto"/>
        </w:rPr>
      </w:pPr>
    </w:p>
    <w:p>
      <w:pPr>
        <w:ind w:left="440" w:right="40" w:hanging="414"/>
        <w:spacing w:after="0" w:line="181" w:lineRule="auto"/>
        <w:tabs>
          <w:tab w:leader="none" w:pos="440" w:val="left"/>
        </w:tabs>
        <w:numPr>
          <w:ilvl w:val="0"/>
          <w:numId w:val="6"/>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37" w:lineRule="exact"/>
        <w:rPr>
          <w:rFonts w:ascii="Arial" w:cs="Arial" w:eastAsia="Arial" w:hAnsi="Arial"/>
          <w:sz w:val="22"/>
          <w:szCs w:val="22"/>
          <w:color w:val="auto"/>
          <w:vertAlign w:val="subscript"/>
        </w:rPr>
      </w:pPr>
    </w:p>
    <w:p>
      <w:pPr>
        <w:ind w:left="440" w:right="60" w:hanging="414"/>
        <w:spacing w:after="0" w:line="246" w:lineRule="auto"/>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quarters ended December 31, 2022 and 2021 and the years ended December 31, 2022 and 2021, this adjustment also includes $5.6 million, $1.3 million, $15.0 million and $1.7 million, respectively, of non-cash accelerated stock-based compensation expense and related payroll taxes associated with our retired CEO and former CFO.</w:t>
      </w:r>
    </w:p>
    <w:p>
      <w:pPr>
        <w:spacing w:after="0" w:line="34" w:lineRule="exact"/>
        <w:rPr>
          <w:rFonts w:ascii="Arial" w:cs="Arial" w:eastAsia="Arial" w:hAnsi="Arial"/>
          <w:sz w:val="12"/>
          <w:szCs w:val="12"/>
          <w:color w:val="auto"/>
        </w:rPr>
      </w:pPr>
    </w:p>
    <w:p>
      <w:pPr>
        <w:ind w:left="440" w:right="460" w:hanging="414"/>
        <w:spacing w:after="0" w:line="258" w:lineRule="auto"/>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40" w:lineRule="exact"/>
        <w:rPr>
          <w:rFonts w:ascii="Arial" w:cs="Arial" w:eastAsia="Arial" w:hAnsi="Arial"/>
          <w:sz w:val="12"/>
          <w:szCs w:val="12"/>
          <w:color w:val="auto"/>
        </w:rPr>
      </w:pPr>
    </w:p>
    <w:p>
      <w:pPr>
        <w:ind w:left="440" w:right="200" w:hanging="414"/>
        <w:spacing w:after="0" w:line="258" w:lineRule="auto"/>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40" w:lineRule="exact"/>
        <w:rPr>
          <w:rFonts w:ascii="Arial" w:cs="Arial" w:eastAsia="Arial" w:hAnsi="Arial"/>
          <w:sz w:val="12"/>
          <w:szCs w:val="12"/>
          <w:color w:val="auto"/>
        </w:rPr>
      </w:pPr>
    </w:p>
    <w:p>
      <w:pPr>
        <w:ind w:left="440" w:right="300" w:hanging="414"/>
        <w:spacing w:after="0" w:line="304" w:lineRule="auto"/>
        <w:tabs>
          <w:tab w:leader="none" w:pos="44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7" w:lineRule="exact"/>
        <w:rPr>
          <w:rFonts w:ascii="Arial" w:cs="Arial" w:eastAsia="Arial" w:hAnsi="Arial"/>
          <w:sz w:val="11"/>
          <w:szCs w:val="11"/>
          <w:color w:val="auto"/>
        </w:rPr>
      </w:pPr>
    </w:p>
    <w:p>
      <w:pPr>
        <w:ind w:left="440" w:hanging="41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 and</w:t>
            </w:r>
          </w:p>
        </w:tc>
        <w:tc>
          <w:tcPr>
            <w:tcW w:w="280" w:type="dxa"/>
            <w:vAlign w:val="bottom"/>
          </w:tcPr>
          <w:p>
            <w:pPr>
              <w:spacing w:after="0"/>
              <w:rPr>
                <w:sz w:val="19"/>
                <w:szCs w:val="19"/>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40" w:type="dxa"/>
            <w:vAlign w:val="bottom"/>
          </w:tcPr>
          <w:p>
            <w:pPr>
              <w:spacing w:after="0"/>
              <w:rPr>
                <w:sz w:val="19"/>
                <w:szCs w:val="19"/>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r>
      <w:tr>
        <w:trPr>
          <w:trHeight w:val="24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Diluted EPS</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77"/>
        </w:trPr>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40" w:type="dxa"/>
            <w:vAlign w:val="bottom"/>
            <w:gridSpan w:val="7"/>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7"/>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420" w:type="dxa"/>
            <w:vAlign w:val="bottom"/>
            <w:gridSpan w:val="2"/>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0.23</w:t>
            </w:r>
          </w:p>
        </w:tc>
        <w:tc>
          <w:tcPr>
            <w:tcW w:w="80" w:type="dxa"/>
            <w:vAlign w:val="bottom"/>
            <w:shd w:val="clear" w:color="auto" w:fill="D5DCE4"/>
          </w:tcPr>
          <w:p>
            <w:pPr>
              <w:spacing w:after="0"/>
              <w:rPr>
                <w:sz w:val="23"/>
                <w:szCs w:val="23"/>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D5DCE4"/>
          </w:tcPr>
          <w:p>
            <w:pPr>
              <w:spacing w:after="0"/>
              <w:rPr>
                <w:sz w:val="23"/>
                <w:szCs w:val="23"/>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1.09</w:t>
            </w:r>
          </w:p>
        </w:tc>
      </w:tr>
      <w:tr>
        <w:trPr>
          <w:trHeight w:val="20"/>
        </w:trPr>
        <w:tc>
          <w:tcPr>
            <w:tcW w:w="49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88,946</w:t>
            </w:r>
          </w:p>
        </w:tc>
        <w:tc>
          <w:tcPr>
            <w:tcW w:w="420" w:type="dxa"/>
            <w:vAlign w:val="bottom"/>
            <w:gridSpan w:val="2"/>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48,890</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309,338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226,828</w:t>
            </w:r>
          </w:p>
        </w:tc>
      </w:tr>
      <w:tr>
        <w:trPr>
          <w:trHeight w:val="243"/>
        </w:trPr>
        <w:tc>
          <w:tcPr>
            <w:tcW w:w="500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10,056</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11,115</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50,275</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46,280</w:t>
            </w:r>
          </w:p>
        </w:tc>
      </w:tr>
      <w:tr>
        <w:trPr>
          <w:trHeight w:val="236"/>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99,002</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60,005</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359,613</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273,108</w:t>
            </w:r>
          </w:p>
        </w:tc>
      </w:tr>
      <w:tr>
        <w:trPr>
          <w:trHeight w:val="235"/>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13,605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43,510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77,520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96,875</w:t>
            </w:r>
          </w:p>
        </w:tc>
      </w:tr>
      <w:tr>
        <w:trPr>
          <w:trHeight w:val="251"/>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1,029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1,069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5,073</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31,571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31,781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126,659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124,580</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6,570</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5,328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20,409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16,509</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(4,702)</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(13,653)</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(12,745)</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(13,653)</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(12,745)</w:t>
            </w:r>
          </w:p>
        </w:tc>
      </w:tr>
      <w:tr>
        <w:trPr>
          <w:trHeight w:val="236"/>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(Income) loss from investments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000" w:type="dxa"/>
            <w:vAlign w:val="bottom"/>
            <w:tcBorders>
              <w:top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280" w:type="dxa"/>
            <w:vAlign w:val="bottom"/>
            <w:tcBorders>
              <w:top w:val="single" w:sz="8" w:color="auto"/>
            </w:tcBorders>
            <w:shd w:val="clear" w:color="auto" w:fill="D5DCE4"/>
          </w:tcPr>
          <w:p>
            <w:pPr>
              <w:spacing w:after="0"/>
              <w:rPr>
                <w:sz w:val="21"/>
                <w:szCs w:val="21"/>
                <w:color w:val="auto"/>
              </w:rPr>
            </w:pPr>
          </w:p>
        </w:tc>
        <w:tc>
          <w:tcPr>
            <w:tcW w:w="1220" w:type="dxa"/>
            <w:vAlign w:val="bottom"/>
            <w:tcBorders>
              <w:top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149,839</w:t>
            </w:r>
          </w:p>
        </w:tc>
        <w:tc>
          <w:tcPr>
            <w:tcW w:w="80" w:type="dxa"/>
            <w:vAlign w:val="bottom"/>
            <w:tcBorders>
              <w:top w:val="single" w:sz="8" w:color="D5DCE4"/>
            </w:tcBorders>
            <w:shd w:val="clear" w:color="auto" w:fill="D5DCE4"/>
          </w:tcPr>
          <w:p>
            <w:pPr>
              <w:spacing w:after="0"/>
              <w:rPr>
                <w:sz w:val="21"/>
                <w:szCs w:val="21"/>
                <w:color w:val="auto"/>
              </w:rPr>
            </w:pPr>
          </w:p>
        </w:tc>
        <w:tc>
          <w:tcPr>
            <w:tcW w:w="340" w:type="dxa"/>
            <w:vAlign w:val="bottom"/>
            <w:tcBorders>
              <w:top w:val="single" w:sz="8" w:color="auto"/>
            </w:tcBorders>
            <w:shd w:val="clear" w:color="auto" w:fill="D5DCE4"/>
          </w:tcPr>
          <w:p>
            <w:pPr>
              <w:spacing w:after="0"/>
              <w:rPr>
                <w:sz w:val="21"/>
                <w:szCs w:val="21"/>
                <w:color w:val="auto"/>
              </w:rPr>
            </w:pPr>
          </w:p>
        </w:tc>
        <w:tc>
          <w:tcPr>
            <w:tcW w:w="1160" w:type="dxa"/>
            <w:vAlign w:val="bottom"/>
            <w:tcBorders>
              <w:top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127,806</w:t>
            </w:r>
          </w:p>
        </w:tc>
        <w:tc>
          <w:tcPr>
            <w:tcW w:w="80" w:type="dxa"/>
            <w:vAlign w:val="bottom"/>
            <w:tcBorders>
              <w:top w:val="single" w:sz="8" w:color="D5DCE4"/>
            </w:tcBorders>
            <w:shd w:val="clear" w:color="auto" w:fill="D5DCE4"/>
          </w:tcPr>
          <w:p>
            <w:pPr>
              <w:spacing w:after="0"/>
              <w:rPr>
                <w:sz w:val="21"/>
                <w:szCs w:val="21"/>
                <w:color w:val="auto"/>
              </w:rPr>
            </w:pPr>
          </w:p>
        </w:tc>
        <w:tc>
          <w:tcPr>
            <w:tcW w:w="340" w:type="dxa"/>
            <w:vAlign w:val="bottom"/>
            <w:tcBorders>
              <w:top w:val="single" w:sz="8" w:color="auto"/>
            </w:tcBorders>
            <w:shd w:val="clear" w:color="auto" w:fill="D5DCE4"/>
          </w:tcPr>
          <w:p>
            <w:pPr>
              <w:spacing w:after="0"/>
              <w:rPr>
                <w:sz w:val="21"/>
                <w:szCs w:val="21"/>
                <w:color w:val="auto"/>
              </w:rPr>
            </w:pPr>
          </w:p>
        </w:tc>
        <w:tc>
          <w:tcPr>
            <w:tcW w:w="1160" w:type="dxa"/>
            <w:vAlign w:val="bottom"/>
            <w:tcBorders>
              <w:top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577,026</w:t>
            </w:r>
          </w:p>
        </w:tc>
        <w:tc>
          <w:tcPr>
            <w:tcW w:w="80" w:type="dxa"/>
            <w:vAlign w:val="bottom"/>
            <w:tcBorders>
              <w:top w:val="single" w:sz="8" w:color="D5DCE4"/>
            </w:tcBorders>
            <w:shd w:val="clear" w:color="auto" w:fill="D5DCE4"/>
          </w:tcPr>
          <w:p>
            <w:pPr>
              <w:spacing w:after="0"/>
              <w:rPr>
                <w:sz w:val="21"/>
                <w:szCs w:val="21"/>
                <w:color w:val="auto"/>
              </w:rPr>
            </w:pPr>
          </w:p>
        </w:tc>
        <w:tc>
          <w:tcPr>
            <w:tcW w:w="340" w:type="dxa"/>
            <w:vAlign w:val="bottom"/>
            <w:tcBorders>
              <w:top w:val="single" w:sz="8" w:color="auto"/>
            </w:tcBorders>
            <w:shd w:val="clear" w:color="auto" w:fill="D5DCE4"/>
          </w:tcPr>
          <w:p>
            <w:pPr>
              <w:spacing w:after="0"/>
              <w:rPr>
                <w:sz w:val="21"/>
                <w:szCs w:val="21"/>
                <w:color w:val="auto"/>
              </w:rPr>
            </w:pPr>
          </w:p>
        </w:tc>
        <w:tc>
          <w:tcPr>
            <w:tcW w:w="1160" w:type="dxa"/>
            <w:vAlign w:val="bottom"/>
            <w:tcBorders>
              <w:top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498,698</w:t>
            </w:r>
          </w:p>
        </w:tc>
      </w:tr>
      <w:tr>
        <w:trPr>
          <w:trHeight w:val="243"/>
        </w:trPr>
        <w:tc>
          <w:tcPr>
            <w:tcW w:w="500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(32,964)</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(28,117)</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(126,946)</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(109,713)</w:t>
            </w:r>
          </w:p>
        </w:tc>
      </w:tr>
      <w:tr>
        <w:trPr>
          <w:trHeight w:val="250"/>
        </w:trPr>
        <w:tc>
          <w:tcPr>
            <w:tcW w:w="50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Net Income</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116,875</w:t>
            </w:r>
          </w:p>
        </w:tc>
        <w:tc>
          <w:tcPr>
            <w:tcW w:w="80" w:type="dxa"/>
            <w:vAlign w:val="bottom"/>
            <w:tcBorders>
              <w:bottom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99,689</w:t>
            </w:r>
          </w:p>
        </w:tc>
        <w:tc>
          <w:tcPr>
            <w:tcW w:w="80" w:type="dxa"/>
            <w:vAlign w:val="bottom"/>
            <w:tcBorders>
              <w:bottom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450,080</w:t>
            </w:r>
          </w:p>
        </w:tc>
        <w:tc>
          <w:tcPr>
            <w:tcW w:w="80" w:type="dxa"/>
            <w:vAlign w:val="bottom"/>
            <w:tcBorders>
              <w:bottom w:val="single" w:sz="8" w:color="D5DCE4"/>
            </w:tcBorders>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388,985</w:t>
            </w: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000" w:type="dxa"/>
            <w:vAlign w:val="bottom"/>
            <w:gridSpan w:val="2"/>
          </w:tcPr>
          <w:p>
            <w:pPr>
              <w:ind w:left="20"/>
              <w:spacing w:after="0" w:line="224" w:lineRule="exact"/>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0.49</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line="213"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692" w:right="339" w:bottom="1440" w:gutter="0" w:footer="0" w:header="0"/>
          <w:type w:val="continuous"/>
        </w:sectPr>
      </w:pPr>
    </w:p>
    <w:bookmarkStart w:id="8" w:name="page9"/>
    <w:bookmarkEnd w:id="8"/>
    <w:p>
      <w:pPr>
        <w:ind w:left="440" w:right="100" w:hanging="414"/>
        <w:spacing w:after="0" w:line="258"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40" w:lineRule="exact"/>
        <w:rPr>
          <w:rFonts w:ascii="Arial" w:cs="Arial" w:eastAsia="Arial" w:hAnsi="Arial"/>
          <w:sz w:val="12"/>
          <w:szCs w:val="12"/>
          <w:color w:val="auto"/>
        </w:rPr>
      </w:pPr>
    </w:p>
    <w:p>
      <w:pPr>
        <w:ind w:left="440" w:right="40" w:hanging="414"/>
        <w:spacing w:after="0" w:line="258"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40" w:lineRule="exact"/>
        <w:rPr>
          <w:rFonts w:ascii="Arial" w:cs="Arial" w:eastAsia="Arial" w:hAnsi="Arial"/>
          <w:sz w:val="12"/>
          <w:szCs w:val="12"/>
          <w:color w:val="auto"/>
        </w:rPr>
      </w:pPr>
    </w:p>
    <w:p>
      <w:pPr>
        <w:ind w:left="440" w:right="300" w:hanging="414"/>
        <w:spacing w:after="0" w:line="304" w:lineRule="auto"/>
        <w:tabs>
          <w:tab w:leader="none" w:pos="44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7" w:lineRule="exact"/>
        <w:rPr>
          <w:rFonts w:ascii="Arial" w:cs="Arial" w:eastAsia="Arial" w:hAnsi="Arial"/>
          <w:sz w:val="11"/>
          <w:szCs w:val="11"/>
          <w:color w:val="auto"/>
        </w:rPr>
      </w:pPr>
    </w:p>
    <w:p>
      <w:pPr>
        <w:ind w:left="440" w:right="60" w:hanging="414"/>
        <w:spacing w:after="0" w:line="246"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quarters ended December 31, 2022 and 2021 and the years ended December 31, 2022 and 2021, this adjustment also includes $5.6 million, $1.3 million, $15.0 million and $1.7 million, respectively, of non-cash accelerated stock-based compensation expense and related payroll taxes associated with our retired CEO and former CFO.</w:t>
      </w:r>
    </w:p>
    <w:p>
      <w:pPr>
        <w:spacing w:after="0" w:line="34" w:lineRule="exact"/>
        <w:rPr>
          <w:rFonts w:ascii="Arial" w:cs="Arial" w:eastAsia="Arial" w:hAnsi="Arial"/>
          <w:sz w:val="12"/>
          <w:szCs w:val="12"/>
          <w:color w:val="auto"/>
        </w:rPr>
      </w:pPr>
    </w:p>
    <w:p>
      <w:pPr>
        <w:ind w:left="440" w:right="460" w:hanging="414"/>
        <w:spacing w:after="0" w:line="258"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40" w:lineRule="exact"/>
        <w:rPr>
          <w:rFonts w:ascii="Arial" w:cs="Arial" w:eastAsia="Arial" w:hAnsi="Arial"/>
          <w:sz w:val="12"/>
          <w:szCs w:val="12"/>
          <w:color w:val="auto"/>
        </w:rPr>
      </w:pPr>
    </w:p>
    <w:p>
      <w:pPr>
        <w:ind w:left="440" w:right="200" w:hanging="414"/>
        <w:spacing w:after="0" w:line="258"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27" w:lineRule="exact"/>
        <w:rPr>
          <w:rFonts w:ascii="Arial" w:cs="Arial" w:eastAsia="Arial" w:hAnsi="Arial"/>
          <w:sz w:val="12"/>
          <w:szCs w:val="12"/>
          <w:color w:val="auto"/>
        </w:rPr>
      </w:pPr>
    </w:p>
    <w:p>
      <w:pPr>
        <w:ind w:left="440" w:hanging="414"/>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22% applied to Adjusted Net Income before income taxes for each of the quarters and years ended December 31, 2022 and 2021.</w:t>
      </w:r>
    </w:p>
    <w:p>
      <w:pPr>
        <w:spacing w:after="0" w:line="64" w:lineRule="exact"/>
        <w:rPr>
          <w:rFonts w:ascii="Arial" w:cs="Arial" w:eastAsia="Arial" w:hAnsi="Arial"/>
          <w:sz w:val="12"/>
          <w:szCs w:val="12"/>
          <w:color w:val="auto"/>
        </w:rPr>
      </w:pPr>
    </w:p>
    <w:p>
      <w:pPr>
        <w:ind w:left="440" w:right="400" w:hanging="414"/>
        <w:spacing w:after="0" w:line="258"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861" w:right="339" w:bottom="1440" w:gutter="0" w:footer="0" w:header="0"/>
        </w:sectPr>
      </w:pPr>
    </w:p>
    <w:p>
      <w:pPr>
        <w:spacing w:after="0" w:line="77" w:lineRule="exact"/>
        <w:rPr>
          <w:sz w:val="20"/>
          <w:szCs w:val="20"/>
          <w:color w:val="auto"/>
        </w:rPr>
      </w:pPr>
    </w:p>
    <w:p>
      <w:pPr>
        <w:ind w:left="20" w:right="280"/>
        <w:spacing w:after="0" w:line="280"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4"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8"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4"/>
          </w:tcPr>
          <w:p>
            <w:pPr>
              <w:ind w:left="440"/>
              <w:spacing w:after="0"/>
              <w:rPr>
                <w:sz w:val="20"/>
                <w:szCs w:val="20"/>
                <w:color w:val="auto"/>
              </w:rPr>
            </w:pPr>
            <w:r>
              <w:rPr>
                <w:rFonts w:ascii="Arial" w:cs="Arial" w:eastAsia="Arial" w:hAnsi="Arial"/>
                <w:sz w:val="16"/>
                <w:szCs w:val="16"/>
                <w:b w:val="1"/>
                <w:bCs w:val="1"/>
                <w:color w:val="auto"/>
              </w:rPr>
              <w:t>Quarter Ended December 31,</w:t>
            </w:r>
          </w:p>
        </w:tc>
        <w:tc>
          <w:tcPr>
            <w:tcW w:w="310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328"/>
        </w:trPr>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4"/>
                <w:szCs w:val="24"/>
                <w:color w:val="auto"/>
              </w:rPr>
            </w:pP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4"/>
                <w:szCs w:val="24"/>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4"/>
                <w:szCs w:val="24"/>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427"/>
        </w:trPr>
        <w:tc>
          <w:tcPr>
            <w:tcW w:w="1520" w:type="dxa"/>
            <w:vAlign w:val="bottom"/>
          </w:tcPr>
          <w:p>
            <w:pPr>
              <w:jc w:val="right"/>
              <w:spacing w:after="0"/>
              <w:rPr>
                <w:sz w:val="20"/>
                <w:szCs w:val="20"/>
                <w:color w:val="auto"/>
              </w:rPr>
            </w:pPr>
            <w:r>
              <w:rPr>
                <w:rFonts w:ascii="Arial" w:cs="Arial" w:eastAsia="Arial" w:hAnsi="Arial"/>
                <w:sz w:val="16"/>
                <w:szCs w:val="16"/>
                <w:color w:val="auto"/>
              </w:rPr>
              <w:t>210,329,656</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208,282,322</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208,400,040</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207,254,840</w:t>
            </w:r>
          </w:p>
        </w:tc>
      </w:tr>
      <w:tr>
        <w:trPr>
          <w:trHeight w:val="243"/>
        </w:trPr>
        <w:tc>
          <w:tcPr>
            <w:tcW w:w="1520" w:type="dxa"/>
            <w:vAlign w:val="bottom"/>
          </w:tcPr>
          <w:p>
            <w:pPr>
              <w:jc w:val="right"/>
              <w:spacing w:after="0"/>
              <w:rPr>
                <w:sz w:val="20"/>
                <w:szCs w:val="20"/>
                <w:color w:val="auto"/>
              </w:rPr>
            </w:pPr>
            <w:r>
              <w:rPr>
                <w:rFonts w:ascii="Arial" w:cs="Arial" w:eastAsia="Arial" w:hAnsi="Arial"/>
                <w:sz w:val="16"/>
                <w:szCs w:val="16"/>
                <w:color w:val="auto"/>
              </w:rPr>
              <w:t>382,800</w:t>
            </w:r>
          </w:p>
        </w:tc>
        <w:tc>
          <w:tcPr>
            <w:tcW w:w="8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193,441</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46"/>
        </w:trPr>
        <w:tc>
          <w:tcPr>
            <w:tcW w:w="1520" w:type="dxa"/>
            <w:vAlign w:val="bottom"/>
          </w:tcPr>
          <w:p>
            <w:pPr>
              <w:jc w:val="right"/>
              <w:spacing w:after="0"/>
              <w:rPr>
                <w:sz w:val="20"/>
                <w:szCs w:val="20"/>
                <w:color w:val="auto"/>
              </w:rPr>
            </w:pPr>
            <w:r>
              <w:rPr>
                <w:rFonts w:ascii="Arial" w:cs="Arial" w:eastAsia="Arial" w:hAnsi="Arial"/>
                <w:sz w:val="16"/>
                <w:szCs w:val="16"/>
                <w:color w:val="auto"/>
              </w:rPr>
              <w:t>26,347,881</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30,529,403</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28,830,686</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30,699,577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-272415</wp:posOffset>
            </wp:positionV>
            <wp:extent cx="71323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-718185</wp:posOffset>
            </wp:positionV>
            <wp:extent cx="71323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20" w:space="140"/>
            <w:col w:w="6280"/>
          </w:cols>
          <w:pgMar w:left="320" w:top="86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237,060,337</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238,811,725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237,424,167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237,954,417</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116,875</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99,689</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450,080</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388,985</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Represents weighted average unvested restricted stock units and unsettled vested performance-based restricted stock units issued to certain retired executives that are entitled to non-forfeitable dividend</w:t>
      </w:r>
    </w:p>
    <w:p>
      <w:pPr>
        <w:spacing w:after="0" w:line="11" w:lineRule="exact"/>
        <w:rPr>
          <w:sz w:val="20"/>
          <w:szCs w:val="20"/>
          <w:color w:val="auto"/>
        </w:rPr>
      </w:pPr>
    </w:p>
    <w:p>
      <w:pPr>
        <w:ind w:left="440" w:right="180" w:hanging="414"/>
        <w:spacing w:after="0" w:line="258"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equivalent rights and are considered participating securities prior to being issued and outstanding shares of common stock in accordance with the two-class method used for purposes of calculating earnings per share.</w:t>
      </w:r>
    </w:p>
    <w:p>
      <w:pPr>
        <w:spacing w:after="0" w:line="27" w:lineRule="exact"/>
        <w:rPr>
          <w:rFonts w:ascii="Arial" w:cs="Arial" w:eastAsia="Arial" w:hAnsi="Arial"/>
          <w:sz w:val="12"/>
          <w:szCs w:val="12"/>
          <w:color w:val="auto"/>
        </w:rPr>
      </w:pPr>
    </w:p>
    <w:p>
      <w:pPr>
        <w:ind w:left="440" w:right="320" w:hanging="414"/>
        <w:spacing w:after="0" w:line="282"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520" w:type="dxa"/>
            <w:vAlign w:val="bottom"/>
          </w:tcPr>
          <w:p>
            <w:pPr>
              <w:spacing w:after="0"/>
              <w:rPr>
                <w:sz w:val="19"/>
                <w:szCs w:val="19"/>
                <w:color w:val="auto"/>
              </w:rPr>
            </w:pPr>
          </w:p>
        </w:tc>
        <w:tc>
          <w:tcPr>
            <w:tcW w:w="25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r>
      <w:tr>
        <w:trPr>
          <w:trHeight w:val="24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77"/>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201,488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185,702</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776,208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717,619</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(5,073)</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2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(31,571)</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(31,781)</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(126,659)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(124,580)</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(5,328)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(16,509)</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26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(10,715)</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(4,409)</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4,702</w:t>
            </w:r>
          </w:p>
        </w:tc>
      </w:tr>
      <w:tr>
        <w:trPr>
          <w:trHeight w:val="236"/>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151,603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148,666</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623,662</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576,159</w:t>
            </w: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440" w:right="40" w:hanging="414"/>
        <w:spacing w:after="0" w:line="181" w:lineRule="auto"/>
        <w:tabs>
          <w:tab w:leader="none" w:pos="440" w:val="left"/>
        </w:tabs>
        <w:numPr>
          <w:ilvl w:val="0"/>
          <w:numId w:val="9"/>
        </w:numPr>
        <w:rPr>
          <w:rFonts w:ascii="Arial" w:cs="Arial" w:eastAsia="Arial" w:hAnsi="Arial"/>
          <w:sz w:val="22"/>
          <w:szCs w:val="22"/>
          <w:color w:val="auto"/>
          <w:vertAlign w:val="subscript"/>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51" w:lineRule="exact"/>
        <w:rPr>
          <w:rFonts w:ascii="Arial" w:cs="Arial" w:eastAsia="Arial" w:hAnsi="Arial"/>
          <w:sz w:val="22"/>
          <w:szCs w:val="22"/>
          <w:color w:val="auto"/>
          <w:vertAlign w:val="subscript"/>
        </w:rPr>
      </w:pPr>
    </w:p>
    <w:p>
      <w:pPr>
        <w:ind w:left="440" w:right="300" w:hanging="414"/>
        <w:spacing w:after="0" w:line="304" w:lineRule="auto"/>
        <w:tabs>
          <w:tab w:leader="none" w:pos="44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7" w:lineRule="exact"/>
        <w:rPr>
          <w:rFonts w:ascii="Arial" w:cs="Arial" w:eastAsia="Arial" w:hAnsi="Arial"/>
          <w:sz w:val="11"/>
          <w:szCs w:val="11"/>
          <w:color w:val="auto"/>
        </w:rPr>
      </w:pPr>
    </w:p>
    <w:p>
      <w:pPr>
        <w:ind w:left="440" w:right="60" w:hanging="414"/>
        <w:spacing w:after="0" w:line="246"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quarters ended December 31, 2022 and 2021 and the years ended December 31, 2022 and 2021, this adjustment also includes $5.6 million, $1.3 million, $15.0 million and $1.7 million, respectively, of non-cash accelerated stock-based compensation expense and related payroll taxes associated with our retired CEO and former CFO.</w:t>
      </w:r>
    </w:p>
    <w:p>
      <w:pPr>
        <w:spacing w:after="0" w:line="34" w:lineRule="exact"/>
        <w:rPr>
          <w:rFonts w:ascii="Arial" w:cs="Arial" w:eastAsia="Arial" w:hAnsi="Arial"/>
          <w:sz w:val="12"/>
          <w:szCs w:val="12"/>
          <w:color w:val="auto"/>
        </w:rPr>
      </w:pPr>
    </w:p>
    <w:p>
      <w:pPr>
        <w:ind w:left="440" w:right="460" w:hanging="414"/>
        <w:spacing w:after="0" w:line="258"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247"/>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77"/>
        </w:trPr>
        <w:tc>
          <w:tcPr>
            <w:tcW w:w="8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24"/>
                <w:szCs w:val="24"/>
                <w:color w:val="auto"/>
              </w:rPr>
            </w:pPr>
          </w:p>
        </w:tc>
      </w:tr>
      <w:tr>
        <w:trPr>
          <w:trHeight w:val="247"/>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632,822</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578,021</w:t>
            </w:r>
          </w:p>
        </w:tc>
      </w:tr>
      <w:tr>
        <w:trPr>
          <w:trHeight w:val="235"/>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(36,882)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(34,470)</w:t>
            </w:r>
          </w:p>
        </w:tc>
      </w:tr>
      <w:tr>
        <w:trPr>
          <w:trHeight w:val="244"/>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(23,214)</w:t>
            </w:r>
          </w:p>
        </w:tc>
        <w:tc>
          <w:tcPr>
            <w:tcW w:w="80" w:type="dxa"/>
            <w:vAlign w:val="bottom"/>
            <w:shd w:val="clear" w:color="auto" w:fill="D5DCE4"/>
          </w:tcPr>
          <w:p>
            <w:pPr>
              <w:spacing w:after="0"/>
              <w:rPr>
                <w:sz w:val="21"/>
                <w:szCs w:val="21"/>
                <w:color w:val="auto"/>
              </w:rPr>
            </w:pPr>
          </w:p>
        </w:tc>
        <w:tc>
          <w:tcPr>
            <w:tcW w:w="56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(16,878)</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572,726</w:t>
            </w:r>
          </w:p>
        </w:tc>
        <w:tc>
          <w:tcPr>
            <w:tcW w:w="80" w:type="dxa"/>
            <w:vAlign w:val="bottom"/>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526,673</w:t>
            </w:r>
          </w:p>
        </w:tc>
      </w:tr>
      <w:tr>
        <w:trPr>
          <w:trHeight w:val="20"/>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61" w:right="339" w:bottom="1440" w:gutter="0" w:footer="0" w:header="0"/>
          <w:type w:val="continuous"/>
        </w:sectPr>
      </w:pPr>
    </w:p>
    <w:p>
      <w:pPr>
        <w:spacing w:after="0" w:line="227"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86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9"/>
                <w:szCs w:val="19"/>
                <w:color w:val="auto"/>
              </w:rPr>
            </w:pPr>
          </w:p>
        </w:tc>
        <w:tc>
          <w:tcPr>
            <w:tcW w:w="27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47"/>
        </w:trPr>
        <w:tc>
          <w:tcPr>
            <w:tcW w:w="20" w:type="dxa"/>
            <w:vAlign w:val="bottom"/>
            <w:tcBorders>
              <w:bottom w:val="single" w:sz="8" w:color="auto"/>
            </w:tcBorders>
          </w:tcPr>
          <w:p>
            <w:pPr>
              <w:spacing w:after="0"/>
              <w:rPr>
                <w:sz w:val="21"/>
                <w:szCs w:val="21"/>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280" w:type="dxa"/>
            <w:vAlign w:val="bottom"/>
            <w:tcBorders>
              <w:bottom w:val="single" w:sz="8" w:color="D5DCE4"/>
            </w:tcBorders>
            <w:shd w:val="clear" w:color="auto" w:fill="D5DCE4"/>
          </w:tcPr>
          <w:p>
            <w:pPr>
              <w:spacing w:after="0"/>
              <w:rPr>
                <w:sz w:val="19"/>
                <w:szCs w:val="19"/>
                <w:color w:val="auto"/>
              </w:rPr>
            </w:pPr>
          </w:p>
        </w:tc>
        <w:tc>
          <w:tcPr>
            <w:tcW w:w="122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2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80" w:type="dxa"/>
            <w:vAlign w:val="bottom"/>
            <w:tcBorders>
              <w:bottom w:val="single" w:sz="8" w:color="D5DCE4"/>
            </w:tcBorders>
            <w:shd w:val="clear" w:color="auto" w:fill="D5DCE4"/>
          </w:tcPr>
          <w:p>
            <w:pPr>
              <w:spacing w:after="0"/>
              <w:rPr>
                <w:sz w:val="19"/>
                <w:szCs w:val="19"/>
                <w:color w:val="auto"/>
              </w:rPr>
            </w:pPr>
          </w:p>
        </w:tc>
        <w:tc>
          <w:tcPr>
            <w:tcW w:w="104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88,946</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48,890</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309,338</w:t>
            </w:r>
          </w:p>
        </w:tc>
        <w:tc>
          <w:tcPr>
            <w:tcW w:w="8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226,828</w:t>
            </w:r>
          </w:p>
        </w:tc>
        <w:tc>
          <w:tcPr>
            <w:tcW w:w="0" w:type="dxa"/>
            <w:vAlign w:val="bottom"/>
          </w:tcPr>
          <w:p>
            <w:pPr>
              <w:spacing w:after="0"/>
              <w:rPr>
                <w:sz w:val="1"/>
                <w:szCs w:val="1"/>
                <w:color w:val="auto"/>
              </w:rPr>
            </w:pPr>
          </w:p>
        </w:tc>
      </w:tr>
      <w:tr>
        <w:trPr>
          <w:trHeight w:val="210"/>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 unvested</w:t>
            </w:r>
          </w:p>
        </w:tc>
        <w:tc>
          <w:tcPr>
            <w:tcW w:w="280" w:type="dxa"/>
            <w:vAlign w:val="bottom"/>
            <w:shd w:val="clear" w:color="auto" w:fill="D5DCE4"/>
          </w:tcPr>
          <w:p>
            <w:pPr>
              <w:spacing w:after="0"/>
              <w:rPr>
                <w:sz w:val="18"/>
                <w:szCs w:val="18"/>
                <w:color w:val="auto"/>
              </w:rPr>
            </w:pPr>
          </w:p>
        </w:tc>
        <w:tc>
          <w:tcPr>
            <w:tcW w:w="12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2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104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 xml:space="preserve">RSUs and unsettled vested PRSUs </w:t>
            </w:r>
            <w:r>
              <w:rPr>
                <w:rFonts w:ascii="Arial" w:cs="Arial" w:eastAsia="Arial" w:hAnsi="Arial"/>
                <w:sz w:val="21"/>
                <w:szCs w:val="21"/>
                <w:color w:val="auto"/>
                <w:vertAlign w:val="superscript"/>
              </w:rPr>
              <w:t>(1)</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(244)</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gridSpan w:val="4"/>
          </w:tcPr>
          <w:p>
            <w:pPr>
              <w:spacing w:after="0" w:line="182" w:lineRule="exact"/>
              <w:rPr>
                <w:sz w:val="20"/>
                <w:szCs w:val="20"/>
                <w:color w:val="auto"/>
              </w:rPr>
            </w:pPr>
            <w:r>
              <w:rPr>
                <w:rFonts w:ascii="Arial" w:cs="Arial" w:eastAsia="Arial" w:hAnsi="Arial"/>
                <w:sz w:val="16"/>
                <w:szCs w:val="16"/>
                <w:color w:val="auto"/>
              </w:rPr>
              <w:t>Net income attributable to outstanding shares of Class A and Class</w:t>
            </w: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88,783</w:t>
            </w:r>
          </w:p>
        </w:tc>
        <w:tc>
          <w:tcPr>
            <w:tcW w:w="80" w:type="dxa"/>
            <w:vAlign w:val="bottom"/>
          </w:tcPr>
          <w:p>
            <w:pPr>
              <w:spacing w:after="0"/>
              <w:rPr>
                <w:sz w:val="15"/>
                <w:szCs w:val="15"/>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48,890</w:t>
            </w:r>
          </w:p>
        </w:tc>
        <w:tc>
          <w:tcPr>
            <w:tcW w:w="80" w:type="dxa"/>
            <w:vAlign w:val="bottom"/>
          </w:tcPr>
          <w:p>
            <w:pPr>
              <w:spacing w:after="0"/>
              <w:rPr>
                <w:sz w:val="15"/>
                <w:szCs w:val="15"/>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309,094</w:t>
            </w:r>
          </w:p>
        </w:tc>
        <w:tc>
          <w:tcPr>
            <w:tcW w:w="80" w:type="dxa"/>
            <w:vAlign w:val="bottom"/>
          </w:tcPr>
          <w:p>
            <w:pPr>
              <w:spacing w:after="0"/>
              <w:rPr>
                <w:sz w:val="15"/>
                <w:szCs w:val="15"/>
                <w:color w:val="auto"/>
              </w:rPr>
            </w:pPr>
          </w:p>
        </w:tc>
        <w:tc>
          <w:tcPr>
            <w:tcW w:w="48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226,828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2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2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2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104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 stock</w:t>
            </w:r>
          </w:p>
        </w:tc>
        <w:tc>
          <w:tcPr>
            <w:tcW w:w="280" w:type="dxa"/>
            <w:vAlign w:val="bottom"/>
            <w:shd w:val="clear" w:color="auto" w:fill="D5DCE4"/>
          </w:tcPr>
          <w:p>
            <w:pPr>
              <w:spacing w:after="0"/>
              <w:rPr>
                <w:sz w:val="14"/>
                <w:szCs w:val="14"/>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207,978,371</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202,576,021</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205,576,637</w:t>
            </w:r>
          </w:p>
        </w:tc>
        <w:tc>
          <w:tcPr>
            <w:tcW w:w="80" w:type="dxa"/>
            <w:vAlign w:val="bottom"/>
            <w:shd w:val="clear" w:color="auto" w:fill="D5DCE4"/>
          </w:tcPr>
          <w:p>
            <w:pPr>
              <w:spacing w:after="0"/>
              <w:rPr>
                <w:sz w:val="14"/>
                <w:szCs w:val="14"/>
                <w:color w:val="auto"/>
              </w:rPr>
            </w:pPr>
          </w:p>
        </w:tc>
        <w:tc>
          <w:tcPr>
            <w:tcW w:w="480" w:type="dxa"/>
            <w:vAlign w:val="bottom"/>
            <w:shd w:val="clear" w:color="auto" w:fill="D5DCE4"/>
          </w:tcPr>
          <w:p>
            <w:pPr>
              <w:spacing w:after="0"/>
              <w:rPr>
                <w:sz w:val="14"/>
                <w:szCs w:val="14"/>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201,419,081</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280" w:type="dxa"/>
            <w:vAlign w:val="bottom"/>
            <w:shd w:val="clear" w:color="auto" w:fill="D5DCE4"/>
          </w:tcPr>
          <w:p>
            <w:pPr>
              <w:spacing w:after="0"/>
              <w:rPr>
                <w:sz w:val="18"/>
                <w:szCs w:val="18"/>
                <w:color w:val="auto"/>
              </w:rPr>
            </w:pPr>
          </w:p>
        </w:tc>
        <w:tc>
          <w:tcPr>
            <w:tcW w:w="122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20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104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694,635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2,270,263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770,726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2,067,558</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1,420,913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3,064,477</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1,810,956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3,473,549</w:t>
            </w:r>
          </w:p>
        </w:tc>
        <w:tc>
          <w:tcPr>
            <w:tcW w:w="0" w:type="dxa"/>
            <w:vAlign w:val="bottom"/>
          </w:tcPr>
          <w:p>
            <w:pPr>
              <w:spacing w:after="0"/>
              <w:rPr>
                <w:sz w:val="1"/>
                <w:szCs w:val="1"/>
                <w:color w:val="auto"/>
              </w:rPr>
            </w:pPr>
          </w:p>
        </w:tc>
      </w:tr>
      <w:tr>
        <w:trPr>
          <w:trHeight w:val="237"/>
        </w:trPr>
        <w:tc>
          <w:tcPr>
            <w:tcW w:w="20" w:type="dxa"/>
            <w:vAlign w:val="bottom"/>
            <w:tcBorders>
              <w:bottom w:val="single" w:sz="8" w:color="D5DCE4"/>
            </w:tcBorders>
          </w:tcPr>
          <w:p>
            <w:pPr>
              <w:spacing w:after="0"/>
              <w:rPr>
                <w:sz w:val="20"/>
                <w:szCs w:val="20"/>
                <w:color w:val="auto"/>
              </w:rPr>
            </w:pPr>
          </w:p>
        </w:tc>
        <w:tc>
          <w:tcPr>
            <w:tcW w:w="4940" w:type="dxa"/>
            <w:vAlign w:val="bottom"/>
            <w:tcBorders>
              <w:bottom w:val="single" w:sz="8" w:color="D5DCE4"/>
            </w:tcBorders>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235,737</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371,561</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241,721</w:t>
            </w:r>
          </w:p>
        </w:tc>
        <w:tc>
          <w:tcPr>
            <w:tcW w:w="80" w:type="dxa"/>
            <w:vAlign w:val="bottom"/>
            <w:tcBorders>
              <w:bottom w:val="single" w:sz="8" w:color="D5DCE4"/>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294,652</w:t>
            </w:r>
          </w:p>
        </w:tc>
        <w:tc>
          <w:tcPr>
            <w:tcW w:w="0" w:type="dxa"/>
            <w:vAlign w:val="bottom"/>
          </w:tcPr>
          <w:p>
            <w:pPr>
              <w:spacing w:after="0"/>
              <w:rPr>
                <w:sz w:val="1"/>
                <w:szCs w:val="1"/>
                <w:color w:val="auto"/>
              </w:rPr>
            </w:pPr>
          </w:p>
        </w:tc>
      </w:tr>
      <w:tr>
        <w:trPr>
          <w:trHeight w:val="148"/>
        </w:trPr>
        <w:tc>
          <w:tcPr>
            <w:tcW w:w="20" w:type="dxa"/>
            <w:vAlign w:val="bottom"/>
            <w:shd w:val="clear" w:color="auto" w:fill="D5DCE4"/>
          </w:tcPr>
          <w:p>
            <w:pPr>
              <w:spacing w:after="0"/>
              <w:rPr>
                <w:sz w:val="12"/>
                <w:szCs w:val="12"/>
                <w:color w:val="auto"/>
              </w:rPr>
            </w:pPr>
          </w:p>
        </w:tc>
        <w:tc>
          <w:tcPr>
            <w:tcW w:w="4940" w:type="dxa"/>
            <w:vAlign w:val="bottom"/>
            <w:gridSpan w:val="4"/>
            <w:shd w:val="clear" w:color="auto" w:fill="D5DCE4"/>
          </w:tcPr>
          <w:p>
            <w:pPr>
              <w:spacing w:after="0" w:line="148" w:lineRule="exact"/>
              <w:rPr>
                <w:sz w:val="20"/>
                <w:szCs w:val="20"/>
                <w:color w:val="auto"/>
              </w:rPr>
            </w:pPr>
            <w:r>
              <w:rPr>
                <w:rFonts w:ascii="Arial" w:cs="Arial" w:eastAsia="Arial" w:hAnsi="Arial"/>
                <w:sz w:val="16"/>
                <w:szCs w:val="16"/>
                <w:color w:val="auto"/>
              </w:rPr>
              <w:t>Weighted average shares of Class A and Class B common stock</w:t>
            </w:r>
          </w:p>
        </w:tc>
        <w:tc>
          <w:tcPr>
            <w:tcW w:w="280" w:type="dxa"/>
            <w:vAlign w:val="bottom"/>
            <w:shd w:val="clear" w:color="auto" w:fill="D5DCE4"/>
          </w:tcPr>
          <w:p>
            <w:pPr>
              <w:spacing w:after="0"/>
              <w:rPr>
                <w:sz w:val="12"/>
                <w:szCs w:val="12"/>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210,329,656</w:t>
            </w:r>
          </w:p>
        </w:tc>
        <w:tc>
          <w:tcPr>
            <w:tcW w:w="80" w:type="dxa"/>
            <w:vAlign w:val="bottom"/>
            <w:shd w:val="clear" w:color="auto" w:fill="D5DCE4"/>
          </w:tcPr>
          <w:p>
            <w:pPr>
              <w:spacing w:after="0"/>
              <w:rPr>
                <w:sz w:val="12"/>
                <w:szCs w:val="12"/>
                <w:color w:val="auto"/>
              </w:rPr>
            </w:pPr>
          </w:p>
        </w:tc>
        <w:tc>
          <w:tcPr>
            <w:tcW w:w="320" w:type="dxa"/>
            <w:vAlign w:val="bottom"/>
            <w:shd w:val="clear" w:color="auto" w:fill="D5DCE4"/>
          </w:tcPr>
          <w:p>
            <w:pPr>
              <w:spacing w:after="0"/>
              <w:rPr>
                <w:sz w:val="12"/>
                <w:szCs w:val="12"/>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208,282,322</w:t>
            </w:r>
          </w:p>
        </w:tc>
        <w:tc>
          <w:tcPr>
            <w:tcW w:w="80" w:type="dxa"/>
            <w:vAlign w:val="bottom"/>
            <w:shd w:val="clear" w:color="auto" w:fill="D5DCE4"/>
          </w:tcPr>
          <w:p>
            <w:pPr>
              <w:spacing w:after="0"/>
              <w:rPr>
                <w:sz w:val="12"/>
                <w:szCs w:val="12"/>
                <w:color w:val="auto"/>
              </w:rPr>
            </w:pPr>
          </w:p>
        </w:tc>
        <w:tc>
          <w:tcPr>
            <w:tcW w:w="320" w:type="dxa"/>
            <w:vAlign w:val="bottom"/>
            <w:shd w:val="clear" w:color="auto" w:fill="D5DCE4"/>
          </w:tcPr>
          <w:p>
            <w:pPr>
              <w:spacing w:after="0"/>
              <w:rPr>
                <w:sz w:val="12"/>
                <w:szCs w:val="12"/>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208,400,040</w:t>
            </w:r>
          </w:p>
        </w:tc>
        <w:tc>
          <w:tcPr>
            <w:tcW w:w="80" w:type="dxa"/>
            <w:vAlign w:val="bottom"/>
            <w:shd w:val="clear" w:color="auto" w:fill="D5DCE4"/>
          </w:tcPr>
          <w:p>
            <w:pPr>
              <w:spacing w:after="0"/>
              <w:rPr>
                <w:sz w:val="12"/>
                <w:szCs w:val="12"/>
                <w:color w:val="auto"/>
              </w:rPr>
            </w:pPr>
          </w:p>
        </w:tc>
        <w:tc>
          <w:tcPr>
            <w:tcW w:w="480" w:type="dxa"/>
            <w:vAlign w:val="bottom"/>
            <w:shd w:val="clear" w:color="auto" w:fill="D5DCE4"/>
          </w:tcPr>
          <w:p>
            <w:pPr>
              <w:spacing w:after="0"/>
              <w:rPr>
                <w:sz w:val="12"/>
                <w:szCs w:val="12"/>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207,254,840</w:t>
            </w:r>
          </w:p>
        </w:tc>
        <w:tc>
          <w:tcPr>
            <w:tcW w:w="0" w:type="dxa"/>
            <w:vAlign w:val="bottom"/>
          </w:tcPr>
          <w:p>
            <w:pPr>
              <w:spacing w:after="0"/>
              <w:rPr>
                <w:sz w:val="1"/>
                <w:szCs w:val="1"/>
                <w:color w:val="auto"/>
              </w:rPr>
            </w:pPr>
          </w:p>
        </w:tc>
      </w:tr>
      <w:tr>
        <w:trPr>
          <w:trHeight w:val="209"/>
        </w:trPr>
        <w:tc>
          <w:tcPr>
            <w:tcW w:w="20" w:type="dxa"/>
            <w:vAlign w:val="bottom"/>
            <w:tcBorders>
              <w:bottom w:val="single" w:sz="8" w:color="D5DCE4"/>
            </w:tcBorders>
            <w:shd w:val="clear" w:color="auto" w:fill="D5DCE4"/>
          </w:tcPr>
          <w:p>
            <w:pPr>
              <w:spacing w:after="0"/>
              <w:rPr>
                <w:sz w:val="18"/>
                <w:szCs w:val="18"/>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outstanding - Diluted</w:t>
            </w:r>
          </w:p>
        </w:tc>
        <w:tc>
          <w:tcPr>
            <w:tcW w:w="280" w:type="dxa"/>
            <w:vAlign w:val="bottom"/>
            <w:tcBorders>
              <w:bottom w:val="single" w:sz="8" w:color="auto"/>
            </w:tcBorders>
            <w:shd w:val="clear" w:color="auto" w:fill="D5DCE4"/>
          </w:tcPr>
          <w:p>
            <w:pPr>
              <w:spacing w:after="0"/>
              <w:rPr>
                <w:sz w:val="18"/>
                <w:szCs w:val="18"/>
                <w:color w:val="auto"/>
              </w:rPr>
            </w:pPr>
          </w:p>
        </w:tc>
        <w:tc>
          <w:tcPr>
            <w:tcW w:w="122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320" w:type="dxa"/>
            <w:vAlign w:val="bottom"/>
            <w:tcBorders>
              <w:bottom w:val="single" w:sz="8" w:color="auto"/>
            </w:tcBorders>
            <w:shd w:val="clear" w:color="auto" w:fill="D5DCE4"/>
          </w:tcPr>
          <w:p>
            <w:pPr>
              <w:spacing w:after="0"/>
              <w:rPr>
                <w:sz w:val="18"/>
                <w:szCs w:val="18"/>
                <w:color w:val="auto"/>
              </w:rPr>
            </w:pPr>
          </w:p>
        </w:tc>
        <w:tc>
          <w:tcPr>
            <w:tcW w:w="120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320" w:type="dxa"/>
            <w:vAlign w:val="bottom"/>
            <w:tcBorders>
              <w:bottom w:val="single" w:sz="8" w:color="auto"/>
            </w:tcBorders>
            <w:shd w:val="clear" w:color="auto" w:fill="D5DCE4"/>
          </w:tcPr>
          <w:p>
            <w:pPr>
              <w:spacing w:after="0"/>
              <w:rPr>
                <w:sz w:val="18"/>
                <w:szCs w:val="18"/>
                <w:color w:val="auto"/>
              </w:rPr>
            </w:pPr>
          </w:p>
        </w:tc>
        <w:tc>
          <w:tcPr>
            <w:tcW w:w="118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480" w:type="dxa"/>
            <w:vAlign w:val="bottom"/>
            <w:tcBorders>
              <w:bottom w:val="single" w:sz="8" w:color="auto"/>
            </w:tcBorders>
            <w:shd w:val="clear" w:color="auto" w:fill="D5DCE4"/>
          </w:tcPr>
          <w:p>
            <w:pPr>
              <w:spacing w:after="0"/>
              <w:rPr>
                <w:sz w:val="18"/>
                <w:szCs w:val="18"/>
                <w:color w:val="auto"/>
              </w:rPr>
            </w:pPr>
          </w:p>
        </w:tc>
        <w:tc>
          <w:tcPr>
            <w:tcW w:w="1040" w:type="dxa"/>
            <w:vAlign w:val="bottom"/>
            <w:tcBorders>
              <w:bottom w:val="single" w:sz="8" w:color="auto"/>
            </w:tcBorders>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Basic</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0.43</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0.24</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1.50</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Diluted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40" w:right="520" w:hanging="414"/>
        <w:spacing w:after="0" w:line="184" w:lineRule="auto"/>
        <w:tabs>
          <w:tab w:leader="none" w:pos="440" w:val="left"/>
        </w:tabs>
        <w:numPr>
          <w:ilvl w:val="0"/>
          <w:numId w:val="10"/>
        </w:numPr>
        <w:rPr>
          <w:rFonts w:ascii="Arial" w:cs="Arial" w:eastAsia="Arial" w:hAnsi="Arial"/>
          <w:sz w:val="23"/>
          <w:szCs w:val="23"/>
          <w:color w:val="auto"/>
          <w:vertAlign w:val="subscript"/>
        </w:rPr>
      </w:pPr>
      <w:r>
        <w:rPr>
          <w:rFonts w:ascii="Arial" w:cs="Arial" w:eastAsia="Arial" w:hAnsi="Arial"/>
          <w:sz w:val="11"/>
          <w:szCs w:val="11"/>
          <w:color w:val="auto"/>
        </w:rPr>
        <w:t>During the quarter and year ended December 31, 2022, there was a total of 382,800 and 193,441, respectively, weighted average unvested RSUs and unsettled vested PRSUs that were considered a participating security for purposes of calculating earnings per share in accordance with the two-class method. There were none during the quarter and year ended December 31, 2021.</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5"/>
          </w:tcPr>
          <w:p>
            <w:pPr>
              <w:ind w:left="34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9"/>
                <w:szCs w:val="19"/>
                <w:color w:val="auto"/>
              </w:rPr>
            </w:pPr>
          </w:p>
        </w:tc>
        <w:tc>
          <w:tcPr>
            <w:tcW w:w="2140" w:type="dxa"/>
            <w:vAlign w:val="bottom"/>
            <w:gridSpan w:val="5"/>
          </w:tcPr>
          <w:p>
            <w:pPr>
              <w:ind w:left="34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9"/>
                <w:szCs w:val="19"/>
                <w:color w:val="auto"/>
              </w:rPr>
            </w:pPr>
          </w:p>
        </w:tc>
        <w:tc>
          <w:tcPr>
            <w:tcW w:w="204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9"/>
                <w:szCs w:val="19"/>
                <w:color w:val="auto"/>
              </w:rPr>
            </w:pPr>
          </w:p>
        </w:tc>
        <w:tc>
          <w:tcPr>
            <w:tcW w:w="18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w:t>
            </w:r>
          </w:p>
        </w:tc>
      </w:tr>
      <w:tr>
        <w:trPr>
          <w:trHeight w:val="244"/>
        </w:trPr>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December 31, 2021</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December 31, 2021</w:t>
            </w:r>
          </w:p>
        </w:tc>
      </w:tr>
      <w:tr>
        <w:trPr>
          <w:trHeight w:val="239"/>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Variable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Variable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r>
      <w:tr>
        <w:trPr>
          <w:trHeight w:val="277"/>
        </w:trPr>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7"/>
        </w:trPr>
        <w:tc>
          <w:tcPr>
            <w:tcW w:w="25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90,384</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54,930</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88,090</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58,438</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383,780</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221,626</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338,395</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224,483</w:t>
            </w:r>
          </w:p>
        </w:tc>
      </w:tr>
      <w:tr>
        <w:trPr>
          <w:trHeight w:val="235"/>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76,891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66,915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6,699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305,760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266,367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26,070</w:t>
            </w:r>
          </w:p>
        </w:tc>
      </w:tr>
      <w:tr>
        <w:trPr>
          <w:trHeight w:val="251"/>
        </w:trPr>
        <w:tc>
          <w:tcPr>
            <w:tcW w:w="25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20,825</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2,178</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15,752</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2,609</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84,354</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9,120</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60,579</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10,497</w:t>
            </w:r>
          </w:p>
        </w:tc>
      </w:tr>
      <w:tr>
        <w:trPr>
          <w:trHeight w:val="235"/>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8,867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4,184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32,306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27,884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16,410</w:t>
            </w:r>
          </w:p>
        </w:tc>
      </w:tr>
      <w:tr>
        <w:trPr>
          <w:trHeight w:val="251"/>
        </w:trPr>
        <w:tc>
          <w:tcPr>
            <w:tcW w:w="25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100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22,295</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21,648</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85,913</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82,142</w:t>
            </w:r>
          </w:p>
        </w:tc>
      </w:tr>
      <w:tr>
        <w:trPr>
          <w:trHeight w:val="236"/>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23,620</w:t>
            </w:r>
          </w:p>
        </w:tc>
      </w:tr>
      <w:tr>
        <w:trPr>
          <w:trHeight w:val="268"/>
        </w:trPr>
        <w:tc>
          <w:tcPr>
            <w:tcW w:w="258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196,967</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96,075</w:t>
            </w:r>
          </w:p>
        </w:tc>
        <w:tc>
          <w:tcPr>
            <w:tcW w:w="12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177,488</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99,395</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806,200</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382,581</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693,225</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383,222</w:t>
            </w:r>
          </w:p>
        </w:tc>
      </w:tr>
      <w:tr>
        <w:trPr>
          <w:trHeight w:val="20"/>
        </w:trPr>
        <w:tc>
          <w:tcPr>
            <w:tcW w:w="23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60" w:type="dxa"/>
            <w:vAlign w:val="bottom"/>
            <w:tcBorders>
              <w:top w:val="single" w:sz="8" w:color="D5DCE4"/>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D5DCE4"/>
              <w:bottom w:val="single" w:sz="8" w:color="auto"/>
            </w:tcBorders>
          </w:tcPr>
          <w:p>
            <w:pPr>
              <w:spacing w:after="0" w:line="20" w:lineRule="exact"/>
              <w:rPr>
                <w:sz w:val="1"/>
                <w:szCs w:val="1"/>
                <w:color w:val="auto"/>
              </w:rPr>
            </w:pPr>
          </w:p>
        </w:tc>
        <w:tc>
          <w:tcPr>
            <w:tcW w:w="80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93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5"/>
          </w:tcPr>
          <w:p>
            <w:pPr>
              <w:ind w:left="460"/>
              <w:spacing w:after="0"/>
              <w:rPr>
                <w:sz w:val="20"/>
                <w:szCs w:val="20"/>
                <w:color w:val="auto"/>
              </w:rPr>
            </w:pPr>
            <w:r>
              <w:rPr>
                <w:rFonts w:ascii="Arial" w:cs="Arial" w:eastAsia="Arial" w:hAnsi="Arial"/>
                <w:sz w:val="16"/>
                <w:szCs w:val="16"/>
                <w:b w:val="1"/>
                <w:bCs w:val="1"/>
                <w:color w:val="auto"/>
              </w:rPr>
              <w:t>Quarter Ended December 31,</w:t>
            </w:r>
          </w:p>
        </w:tc>
        <w:tc>
          <w:tcPr>
            <w:tcW w:w="2120" w:type="dxa"/>
            <w:vAlign w:val="bottom"/>
          </w:tcPr>
          <w:p>
            <w:pPr>
              <w:jc w:val="right"/>
              <w:ind w:right="819"/>
              <w:spacing w:after="0"/>
              <w:rPr>
                <w:sz w:val="20"/>
                <w:szCs w:val="20"/>
                <w:color w:val="auto"/>
              </w:rPr>
            </w:pPr>
            <w:r>
              <w:rPr>
                <w:rFonts w:ascii="Arial" w:cs="Arial" w:eastAsia="Arial" w:hAnsi="Arial"/>
                <w:sz w:val="16"/>
                <w:szCs w:val="16"/>
                <w:b w:val="1"/>
                <w:bCs w:val="1"/>
                <w:color w:val="auto"/>
              </w:rPr>
              <w:t>YoY</w:t>
            </w:r>
          </w:p>
        </w:tc>
      </w:tr>
      <w:tr>
        <w:trPr>
          <w:trHeight w:val="247"/>
        </w:trPr>
        <w:tc>
          <w:tcPr>
            <w:tcW w:w="4980" w:type="dxa"/>
            <w:vAlign w:val="bottom"/>
            <w:tcBorders>
              <w:bottom w:val="single" w:sz="8" w:color="D5DCE4"/>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5DCE4"/>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1"/>
                <w:szCs w:val="21"/>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2.33</w:t>
            </w:r>
          </w:p>
        </w:tc>
        <w:tc>
          <w:tcPr>
            <w:tcW w:w="80" w:type="dxa"/>
            <w:vAlign w:val="bottom"/>
            <w:shd w:val="clear" w:color="auto" w:fill="D5DCE4"/>
          </w:tcPr>
          <w:p>
            <w:pPr>
              <w:spacing w:after="0"/>
              <w:rPr>
                <w:sz w:val="20"/>
                <w:szCs w:val="20"/>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1.93</w:t>
            </w:r>
          </w:p>
        </w:tc>
        <w:tc>
          <w:tcPr>
            <w:tcW w:w="80" w:type="dxa"/>
            <w:vAlign w:val="bottom"/>
            <w:shd w:val="clear" w:color="auto" w:fill="D5DCE4"/>
          </w:tcPr>
          <w:p>
            <w:pPr>
              <w:spacing w:after="0"/>
              <w:rPr>
                <w:sz w:val="20"/>
                <w:szCs w:val="20"/>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20.8 %</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Rates Cash</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22.6 %</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18.6 %</w:t>
            </w:r>
          </w:p>
        </w:tc>
      </w:tr>
      <w:tr>
        <w:trPr>
          <w:trHeight w:val="235"/>
        </w:trPr>
        <w:tc>
          <w:tcPr>
            <w:tcW w:w="4980" w:type="dxa"/>
            <w:vAlign w:val="bottom"/>
          </w:tcPr>
          <w:p>
            <w:pPr>
              <w:ind w:left="240"/>
              <w:spacing w:after="0"/>
              <w:rPr>
                <w:sz w:val="20"/>
                <w:szCs w:val="20"/>
                <w:color w:val="auto"/>
              </w:rPr>
            </w:pPr>
            <w:r>
              <w:rPr>
                <w:rFonts w:ascii="Arial" w:cs="Arial" w:eastAsia="Arial" w:hAnsi="Arial"/>
                <w:sz w:val="16"/>
                <w:szCs w:val="16"/>
                <w:color w:val="auto"/>
              </w:rPr>
              <w:t>Rates Derivatives (greater than 1 year)</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3.31</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51"/>
        </w:trPr>
        <w:tc>
          <w:tcPr>
            <w:tcW w:w="498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0.28</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0.14</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103.1 %</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57.95</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20" w:type="dxa"/>
            <w:vAlign w:val="bottom"/>
            <w:shd w:val="clear" w:color="auto" w:fill="D5DCE4"/>
          </w:tcPr>
          <w:p>
            <w:pPr>
              <w:jc w:val="right"/>
              <w:ind w:right="799"/>
              <w:spacing w:after="0"/>
              <w:rPr>
                <w:sz w:val="20"/>
                <w:szCs w:val="20"/>
                <w:color w:val="auto"/>
              </w:rPr>
            </w:pPr>
            <w:r>
              <w:rPr>
                <w:rFonts w:ascii="Arial" w:cs="Arial" w:eastAsia="Arial" w:hAnsi="Arial"/>
                <w:sz w:val="16"/>
                <w:szCs w:val="16"/>
                <w:b w:val="1"/>
                <w:bCs w:val="1"/>
                <w:color w:val="auto"/>
              </w:rPr>
              <w:t>57.02</w:t>
            </w:r>
          </w:p>
        </w:tc>
        <w:tc>
          <w:tcPr>
            <w:tcW w:w="14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1.6 %</w:t>
            </w:r>
          </w:p>
        </w:tc>
      </w:tr>
      <w:tr>
        <w:trPr>
          <w:trHeight w:val="243"/>
        </w:trPr>
        <w:tc>
          <w:tcPr>
            <w:tcW w:w="476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9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158.39</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799"/>
              <w:spacing w:after="0"/>
              <w:rPr>
                <w:sz w:val="20"/>
                <w:szCs w:val="20"/>
                <w:color w:val="auto"/>
              </w:rPr>
            </w:pPr>
            <w:r>
              <w:rPr>
                <w:rFonts w:ascii="Arial" w:cs="Arial" w:eastAsia="Arial" w:hAnsi="Arial"/>
                <w:sz w:val="16"/>
                <w:szCs w:val="16"/>
                <w:color w:val="auto"/>
              </w:rPr>
              <w:t>149.49</w:t>
            </w:r>
          </w:p>
        </w:tc>
        <w:tc>
          <w:tcPr>
            <w:tcW w:w="140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43"/>
        </w:trPr>
        <w:tc>
          <w:tcPr>
            <w:tcW w:w="47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and U.S. Cash “EP”</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7.44</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20" w:type="dxa"/>
            <w:vAlign w:val="bottom"/>
            <w:shd w:val="clear" w:color="auto" w:fill="D5DCE4"/>
          </w:tcPr>
          <w:p>
            <w:pPr>
              <w:jc w:val="right"/>
              <w:ind w:right="799"/>
              <w:spacing w:after="0"/>
              <w:rPr>
                <w:sz w:val="20"/>
                <w:szCs w:val="20"/>
                <w:color w:val="auto"/>
              </w:rPr>
            </w:pPr>
            <w:r>
              <w:rPr>
                <w:rFonts w:ascii="Arial" w:cs="Arial" w:eastAsia="Arial" w:hAnsi="Arial"/>
                <w:sz w:val="16"/>
                <w:szCs w:val="16"/>
                <w:color w:val="auto"/>
              </w:rPr>
              <w:t>8.08</w:t>
            </w:r>
          </w:p>
        </w:tc>
        <w:tc>
          <w:tcPr>
            <w:tcW w:w="14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19.18</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20" w:type="dxa"/>
            <w:vAlign w:val="bottom"/>
            <w:shd w:val="clear" w:color="auto" w:fill="D5DCE4"/>
          </w:tcPr>
          <w:p>
            <w:pPr>
              <w:jc w:val="right"/>
              <w:ind w:right="799"/>
              <w:spacing w:after="0"/>
              <w:rPr>
                <w:sz w:val="20"/>
                <w:szCs w:val="20"/>
                <w:color w:val="auto"/>
              </w:rPr>
            </w:pPr>
            <w:r>
              <w:rPr>
                <w:rFonts w:ascii="Arial" w:cs="Arial" w:eastAsia="Arial" w:hAnsi="Arial"/>
                <w:sz w:val="16"/>
                <w:szCs w:val="16"/>
                <w:b w:val="1"/>
                <w:bCs w:val="1"/>
                <w:color w:val="auto"/>
              </w:rPr>
              <w:t>15.40</w:t>
            </w:r>
          </w:p>
        </w:tc>
        <w:tc>
          <w:tcPr>
            <w:tcW w:w="14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24.6 %</w:t>
            </w:r>
          </w:p>
        </w:tc>
      </w:tr>
      <w:tr>
        <w:trPr>
          <w:trHeight w:val="235"/>
        </w:trPr>
        <w:tc>
          <w:tcPr>
            <w:tcW w:w="4760" w:type="dxa"/>
            <w:vAlign w:val="bottom"/>
          </w:tcPr>
          <w:p>
            <w:pPr>
              <w:ind w:left="140"/>
              <w:spacing w:after="0"/>
              <w:rPr>
                <w:sz w:val="20"/>
                <w:szCs w:val="20"/>
                <w:color w:val="auto"/>
              </w:rPr>
            </w:pPr>
            <w:r>
              <w:rPr>
                <w:rFonts w:ascii="Arial" w:cs="Arial" w:eastAsia="Arial" w:hAnsi="Arial"/>
                <w:sz w:val="16"/>
                <w:szCs w:val="16"/>
                <w:color w:val="auto"/>
              </w:rPr>
              <w:t>Equities Cash</w:t>
            </w:r>
          </w:p>
        </w:tc>
        <w:tc>
          <w:tcPr>
            <w:tcW w:w="9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29.60</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799"/>
              <w:spacing w:after="0"/>
              <w:rPr>
                <w:sz w:val="20"/>
                <w:szCs w:val="20"/>
                <w:color w:val="auto"/>
              </w:rPr>
            </w:pPr>
            <w:r>
              <w:rPr>
                <w:rFonts w:ascii="Arial" w:cs="Arial" w:eastAsia="Arial" w:hAnsi="Arial"/>
                <w:sz w:val="16"/>
                <w:szCs w:val="16"/>
                <w:color w:val="auto"/>
              </w:rPr>
              <w:t>23.84</w:t>
            </w:r>
          </w:p>
        </w:tc>
        <w:tc>
          <w:tcPr>
            <w:tcW w:w="1400" w:type="dxa"/>
            <w:vAlign w:val="bottom"/>
          </w:tcPr>
          <w:p>
            <w:pPr>
              <w:jc w:val="right"/>
              <w:spacing w:after="0"/>
              <w:rPr>
                <w:sz w:val="20"/>
                <w:szCs w:val="20"/>
                <w:color w:val="auto"/>
              </w:rPr>
            </w:pPr>
            <w:r>
              <w:rPr>
                <w:rFonts w:ascii="Arial" w:cs="Arial" w:eastAsia="Arial" w:hAnsi="Arial"/>
                <w:sz w:val="16"/>
                <w:szCs w:val="16"/>
                <w:color w:val="auto"/>
              </w:rPr>
              <w:t>24.1 %</w:t>
            </w:r>
          </w:p>
        </w:tc>
      </w:tr>
      <w:tr>
        <w:trPr>
          <w:trHeight w:val="251"/>
        </w:trPr>
        <w:tc>
          <w:tcPr>
            <w:tcW w:w="47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6.09</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20" w:type="dxa"/>
            <w:vAlign w:val="bottom"/>
            <w:shd w:val="clear" w:color="auto" w:fill="D5DCE4"/>
          </w:tcPr>
          <w:p>
            <w:pPr>
              <w:jc w:val="right"/>
              <w:ind w:right="799"/>
              <w:spacing w:after="0"/>
              <w:rPr>
                <w:sz w:val="20"/>
                <w:szCs w:val="20"/>
                <w:color w:val="auto"/>
              </w:rPr>
            </w:pPr>
            <w:r>
              <w:rPr>
                <w:rFonts w:ascii="Arial" w:cs="Arial" w:eastAsia="Arial" w:hAnsi="Arial"/>
                <w:sz w:val="16"/>
                <w:szCs w:val="16"/>
                <w:color w:val="auto"/>
              </w:rPr>
              <w:t>5.62</w:t>
            </w:r>
          </w:p>
        </w:tc>
        <w:tc>
          <w:tcPr>
            <w:tcW w:w="14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8.4 %</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0.36</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20" w:type="dxa"/>
            <w:vAlign w:val="bottom"/>
            <w:shd w:val="clear" w:color="auto" w:fill="D5DCE4"/>
          </w:tcPr>
          <w:p>
            <w:pPr>
              <w:jc w:val="right"/>
              <w:ind w:right="799"/>
              <w:spacing w:after="0"/>
              <w:rPr>
                <w:sz w:val="20"/>
                <w:szCs w:val="20"/>
                <w:color w:val="auto"/>
              </w:rPr>
            </w:pPr>
            <w:r>
              <w:rPr>
                <w:rFonts w:ascii="Arial" w:cs="Arial" w:eastAsia="Arial" w:hAnsi="Arial"/>
                <w:sz w:val="16"/>
                <w:szCs w:val="16"/>
                <w:b w:val="1"/>
                <w:bCs w:val="1"/>
                <w:color w:val="auto"/>
              </w:rPr>
              <w:t>0.31</w:t>
            </w:r>
          </w:p>
        </w:tc>
        <w:tc>
          <w:tcPr>
            <w:tcW w:w="14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17.3 %</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3.00</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20" w:type="dxa"/>
            <w:vAlign w:val="bottom"/>
            <w:shd w:val="clear" w:color="auto" w:fill="D5DCE4"/>
          </w:tcPr>
          <w:p>
            <w:pPr>
              <w:jc w:val="right"/>
              <w:ind w:right="799"/>
              <w:spacing w:after="0"/>
              <w:rPr>
                <w:sz w:val="20"/>
                <w:szCs w:val="20"/>
                <w:color w:val="auto"/>
              </w:rPr>
            </w:pPr>
            <w:r>
              <w:rPr>
                <w:rFonts w:ascii="Arial" w:cs="Arial" w:eastAsia="Arial" w:hAnsi="Arial"/>
                <w:sz w:val="16"/>
                <w:szCs w:val="16"/>
                <w:b w:val="1"/>
                <w:bCs w:val="1"/>
                <w:color w:val="auto"/>
              </w:rPr>
              <w:t>2.55</w:t>
            </w:r>
          </w:p>
        </w:tc>
        <w:tc>
          <w:tcPr>
            <w:tcW w:w="14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17.7 %</w:t>
            </w:r>
          </w:p>
        </w:tc>
      </w:tr>
      <w:tr>
        <w:trPr>
          <w:trHeight w:val="302"/>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Fees per Million excluding Other Rates Derivatives </w:t>
            </w:r>
            <w:r>
              <w:rPr>
                <w:rFonts w:ascii="Arial" w:cs="Arial" w:eastAsia="Arial" w:hAnsi="Arial"/>
                <w:sz w:val="21"/>
                <w:szCs w:val="21"/>
                <w:b w:val="1"/>
                <w:bCs w:val="1"/>
                <w:color w:val="auto"/>
                <w:vertAlign w:val="superscript"/>
              </w:rPr>
              <w:t>(3)</w:t>
            </w:r>
          </w:p>
        </w:tc>
        <w:tc>
          <w:tcPr>
            <w:tcW w:w="9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3.31</w:t>
            </w:r>
          </w:p>
        </w:tc>
        <w:tc>
          <w:tcPr>
            <w:tcW w:w="8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2020" w:type="dxa"/>
            <w:vAlign w:val="bottom"/>
          </w:tcPr>
          <w:p>
            <w:pPr>
              <w:jc w:val="right"/>
              <w:ind w:right="799"/>
              <w:spacing w:after="0"/>
              <w:rPr>
                <w:sz w:val="20"/>
                <w:szCs w:val="20"/>
                <w:color w:val="auto"/>
              </w:rPr>
            </w:pPr>
            <w:r>
              <w:rPr>
                <w:rFonts w:ascii="Arial" w:cs="Arial" w:eastAsia="Arial" w:hAnsi="Arial"/>
                <w:sz w:val="16"/>
                <w:szCs w:val="16"/>
                <w:b w:val="1"/>
                <w:bCs w:val="1"/>
                <w:color w:val="auto"/>
              </w:rPr>
              <w:t>3.02</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9.5 %</w:t>
            </w:r>
          </w:p>
        </w:tc>
      </w:tr>
    </w:tbl>
    <w:p>
      <w:pPr>
        <w:spacing w:after="0" w:line="197" w:lineRule="exact"/>
        <w:rPr>
          <w:sz w:val="20"/>
          <w:szCs w:val="20"/>
          <w:color w:val="auto"/>
        </w:rPr>
      </w:pPr>
    </w:p>
    <w:p>
      <w:pPr>
        <w:ind w:left="440" w:hanging="414"/>
        <w:spacing w:after="0"/>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Swaps/Swaptions with tenor less than 1 year and Rates Futures.</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and (2)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4"/>
          </w:tcPr>
          <w:p>
            <w:pPr>
              <w:ind w:left="740"/>
              <w:spacing w:after="0"/>
              <w:rPr>
                <w:sz w:val="20"/>
                <w:szCs w:val="20"/>
                <w:color w:val="auto"/>
              </w:rPr>
            </w:pPr>
            <w:r>
              <w:rPr>
                <w:rFonts w:ascii="Arial" w:cs="Arial" w:eastAsia="Arial" w:hAnsi="Arial"/>
                <w:sz w:val="16"/>
                <w:szCs w:val="16"/>
                <w:b w:val="1"/>
                <w:bCs w:val="1"/>
                <w:color w:val="auto"/>
              </w:rPr>
              <w:t>2022 Q4</w:t>
            </w:r>
          </w:p>
        </w:tc>
        <w:tc>
          <w:tcPr>
            <w:tcW w:w="280" w:type="dxa"/>
            <w:vAlign w:val="bottom"/>
          </w:tcPr>
          <w:p>
            <w:pPr>
              <w:spacing w:after="0"/>
              <w:rPr>
                <w:sz w:val="19"/>
                <w:szCs w:val="19"/>
                <w:color w:val="auto"/>
              </w:rPr>
            </w:pPr>
          </w:p>
        </w:tc>
        <w:tc>
          <w:tcPr>
            <w:tcW w:w="2500" w:type="dxa"/>
            <w:vAlign w:val="bottom"/>
            <w:gridSpan w:val="4"/>
          </w:tcPr>
          <w:p>
            <w:pPr>
              <w:ind w:left="740"/>
              <w:spacing w:after="0"/>
              <w:rPr>
                <w:sz w:val="20"/>
                <w:szCs w:val="20"/>
                <w:color w:val="auto"/>
              </w:rPr>
            </w:pPr>
            <w:r>
              <w:rPr>
                <w:rFonts w:ascii="Arial" w:cs="Arial" w:eastAsia="Arial" w:hAnsi="Arial"/>
                <w:sz w:val="16"/>
                <w:szCs w:val="16"/>
                <w:b w:val="1"/>
                <w:bCs w:val="1"/>
                <w:color w:val="auto"/>
              </w:rPr>
              <w:t>2021 Q4</w:t>
            </w:r>
          </w:p>
        </w:tc>
        <w:tc>
          <w:tcPr>
            <w:tcW w:w="1360" w:type="dxa"/>
            <w:vAlign w:val="bottom"/>
          </w:tcPr>
          <w:p>
            <w:pPr>
              <w:ind w:left="52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47"/>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20" w:type="dxa"/>
            <w:vAlign w:val="bottom"/>
            <w:tcBorders>
              <w:bottom w:val="single" w:sz="8" w:color="D5DCE4"/>
            </w:tcBorders>
          </w:tcPr>
          <w:p>
            <w:pPr>
              <w:spacing w:after="0"/>
              <w:rPr>
                <w:sz w:val="21"/>
                <w:szCs w:val="21"/>
                <w:color w:val="auto"/>
              </w:rPr>
            </w:pPr>
          </w:p>
        </w:tc>
        <w:tc>
          <w:tcPr>
            <w:tcW w:w="26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26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0"/>
        </w:trPr>
        <w:tc>
          <w:tcPr>
            <w:tcW w:w="122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1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318,193</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19,481,076</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shd w:val="clear" w:color="auto" w:fill="D5DC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345,509</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21,489,319</w:t>
            </w:r>
          </w:p>
        </w:tc>
        <w:tc>
          <w:tcPr>
            <w:tcW w:w="100" w:type="dxa"/>
            <w:vAlign w:val="bottom"/>
            <w:tcBorders>
              <w:right w:val="single" w:sz="8" w:color="D5DCE4"/>
            </w:tcBorders>
            <w:shd w:val="clear" w:color="auto" w:fill="D5DCE4"/>
          </w:tcPr>
          <w:p>
            <w:pPr>
              <w:spacing w:after="0"/>
              <w:rPr>
                <w:sz w:val="20"/>
                <w:szCs w:val="20"/>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(7.91)%</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Government Bonds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126,182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7,697,129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135,018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8,371,141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Government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33,305</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2,098,194</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30,999</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1,983,966</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7.44 %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Mortgages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153,847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9,384,660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175,504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10,881,259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Government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4,859</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301,093</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3,987</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252,953</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21.88 %</w:t>
            </w: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311,015</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19,271,261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383,514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24,138,900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(18.90)%</w:t>
            </w:r>
          </w:p>
        </w:tc>
        <w:tc>
          <w:tcPr>
            <w:tcW w:w="0" w:type="dxa"/>
            <w:vAlign w:val="bottom"/>
          </w:tcPr>
          <w:p>
            <w:pPr>
              <w:spacing w:after="0"/>
              <w:rPr>
                <w:sz w:val="1"/>
                <w:szCs w:val="1"/>
                <w:color w:val="auto"/>
              </w:rPr>
            </w:pPr>
          </w:p>
        </w:tc>
      </w:tr>
      <w:tr>
        <w:trPr>
          <w:trHeight w:val="247"/>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Swaps/Swaptions ≥ 1Y</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201,759</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12,504,981</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200,495</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12,639,759</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0.63 %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Swaps/Swaptions &lt; 1Y</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107,597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6,665,075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182,152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11,445,372</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(40.93)%</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1,659</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101,206</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867</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53,769</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91.27 %</w:t>
            </w:r>
          </w:p>
        </w:tc>
        <w:tc>
          <w:tcPr>
            <w:tcW w:w="0" w:type="dxa"/>
            <w:vAlign w:val="bottom"/>
          </w:tcPr>
          <w:p>
            <w:pPr>
              <w:spacing w:after="0"/>
              <w:rPr>
                <w:sz w:val="1"/>
                <w:szCs w:val="1"/>
                <w:color w:val="auto"/>
              </w:rPr>
            </w:pPr>
          </w:p>
        </w:tc>
      </w:tr>
      <w:tr>
        <w:trPr>
          <w:trHeight w:val="233"/>
        </w:trPr>
        <w:tc>
          <w:tcPr>
            <w:tcW w:w="1220" w:type="dxa"/>
            <w:vAlign w:val="bottom"/>
            <w:tcBorders>
              <w:bottom w:val="single" w:sz="8" w:color="D5DCE4"/>
            </w:tcBorders>
          </w:tcPr>
          <w:p>
            <w:pPr>
              <w:spacing w:after="0"/>
              <w:rPr>
                <w:sz w:val="20"/>
                <w:szCs w:val="20"/>
                <w:color w:val="auto"/>
              </w:rPr>
            </w:pPr>
          </w:p>
        </w:tc>
        <w:tc>
          <w:tcPr>
            <w:tcW w:w="314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629,208</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38,752,337</w:t>
            </w:r>
          </w:p>
        </w:tc>
        <w:tc>
          <w:tcPr>
            <w:tcW w:w="100" w:type="dxa"/>
            <w:vAlign w:val="bottom"/>
            <w:tcBorders>
              <w:bottom w:val="single" w:sz="8" w:color="D5DCE4"/>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729,023</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45,628,219</w:t>
            </w:r>
          </w:p>
        </w:tc>
        <w:tc>
          <w:tcPr>
            <w:tcW w:w="100" w:type="dxa"/>
            <w:vAlign w:val="bottom"/>
            <w:tcBorders>
              <w:bottom w:val="single" w:sz="8" w:color="D5DCE4"/>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(13.69)%</w:t>
            </w:r>
          </w:p>
        </w:tc>
        <w:tc>
          <w:tcPr>
            <w:tcW w:w="0" w:type="dxa"/>
            <w:vAlign w:val="bottom"/>
          </w:tcPr>
          <w:p>
            <w:pPr>
              <w:spacing w:after="0"/>
              <w:rPr>
                <w:sz w:val="1"/>
                <w:szCs w:val="1"/>
                <w:color w:val="auto"/>
              </w:rPr>
            </w:pPr>
          </w:p>
        </w:tc>
      </w:tr>
      <w:tr>
        <w:trPr>
          <w:trHeight w:val="240"/>
        </w:trPr>
        <w:tc>
          <w:tcPr>
            <w:tcW w:w="122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31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10,120</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619,806</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8,839</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550,188</w:t>
            </w:r>
          </w:p>
        </w:tc>
        <w:tc>
          <w:tcPr>
            <w:tcW w:w="100" w:type="dxa"/>
            <w:vAlign w:val="bottom"/>
            <w:tcBorders>
              <w:right w:val="single" w:sz="8" w:color="D5DCE4"/>
            </w:tcBorders>
            <w:shd w:val="clear" w:color="auto" w:fill="D5DCE4"/>
          </w:tcPr>
          <w:p>
            <w:pPr>
              <w:spacing w:after="0"/>
              <w:rPr>
                <w:sz w:val="20"/>
                <w:szCs w:val="20"/>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14.50 %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Grade - Fully Electronic</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3,633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221,587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2,833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175,623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28.24 %</w:t>
            </w:r>
          </w:p>
        </w:tc>
        <w:tc>
          <w:tcPr>
            <w:tcW w:w="0" w:type="dxa"/>
            <w:vAlign w:val="bottom"/>
          </w:tcPr>
          <w:p>
            <w:pPr>
              <w:spacing w:after="0"/>
              <w:rPr>
                <w:sz w:val="1"/>
                <w:szCs w:val="1"/>
                <w:color w:val="auto"/>
              </w:rPr>
            </w:pPr>
          </w:p>
        </w:tc>
      </w:tr>
      <w:tr>
        <w:trPr>
          <w:trHeight w:val="212"/>
        </w:trPr>
        <w:tc>
          <w:tcPr>
            <w:tcW w:w="1220" w:type="dxa"/>
            <w:vAlign w:val="bottom"/>
            <w:tcBorders>
              <w:right w:val="single" w:sz="8" w:color="D5DCE4"/>
            </w:tcBorders>
            <w:shd w:val="clear" w:color="auto" w:fill="D5DCE4"/>
          </w:tcPr>
          <w:p>
            <w:pPr>
              <w:spacing w:after="0"/>
              <w:rPr>
                <w:sz w:val="18"/>
                <w:szCs w:val="18"/>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Grade - Electronically</w:t>
            </w:r>
          </w:p>
        </w:tc>
        <w:tc>
          <w:tcPr>
            <w:tcW w:w="260" w:type="dxa"/>
            <w:vAlign w:val="bottom"/>
            <w:shd w:val="clear" w:color="auto" w:fill="D5DCE4"/>
          </w:tcPr>
          <w:p>
            <w:pPr>
              <w:spacing w:after="0"/>
              <w:rPr>
                <w:sz w:val="18"/>
                <w:szCs w:val="18"/>
                <w:color w:val="auto"/>
              </w:rPr>
            </w:pPr>
          </w:p>
        </w:tc>
        <w:tc>
          <w:tcPr>
            <w:tcW w:w="98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2,595</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158,294</w:t>
            </w:r>
          </w:p>
        </w:tc>
        <w:tc>
          <w:tcPr>
            <w:tcW w:w="100" w:type="dxa"/>
            <w:vAlign w:val="bottom"/>
            <w:tcBorders>
              <w:right w:val="single" w:sz="8" w:color="D5DCE4"/>
            </w:tcBorders>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98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2,017</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125,052</w:t>
            </w:r>
          </w:p>
        </w:tc>
        <w:tc>
          <w:tcPr>
            <w:tcW w:w="100" w:type="dxa"/>
            <w:vAlign w:val="bottom"/>
            <w:tcBorders>
              <w:right w:val="single" w:sz="8" w:color="D5DCE4"/>
            </w:tcBorders>
            <w:shd w:val="clear" w:color="auto" w:fill="D5DCE4"/>
          </w:tcPr>
          <w:p>
            <w:pPr>
              <w:spacing w:after="0"/>
              <w:rPr>
                <w:sz w:val="18"/>
                <w:szCs w:val="18"/>
                <w:color w:val="auto"/>
              </w:rPr>
            </w:pPr>
          </w:p>
        </w:tc>
        <w:tc>
          <w:tcPr>
            <w:tcW w:w="136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28.66 %</w:t>
            </w:r>
          </w:p>
        </w:tc>
        <w:tc>
          <w:tcPr>
            <w:tcW w:w="0" w:type="dxa"/>
            <w:vAlign w:val="bottom"/>
          </w:tcPr>
          <w:p>
            <w:pPr>
              <w:spacing w:after="0"/>
              <w:rPr>
                <w:sz w:val="1"/>
                <w:szCs w:val="1"/>
                <w:color w:val="auto"/>
              </w:rPr>
            </w:pPr>
          </w:p>
        </w:tc>
      </w:tr>
      <w:tr>
        <w:trPr>
          <w:trHeight w:val="118"/>
        </w:trPr>
        <w:tc>
          <w:tcPr>
            <w:tcW w:w="1220" w:type="dxa"/>
            <w:vAlign w:val="bottom"/>
            <w:tcBorders>
              <w:right w:val="single" w:sz="8" w:color="D5DCE4"/>
            </w:tcBorders>
            <w:shd w:val="clear" w:color="auto" w:fill="D5DCE4"/>
          </w:tcPr>
          <w:p>
            <w:pPr>
              <w:spacing w:after="0"/>
              <w:rPr>
                <w:sz w:val="10"/>
                <w:szCs w:val="10"/>
                <w:color w:val="auto"/>
              </w:rPr>
            </w:pPr>
          </w:p>
        </w:tc>
        <w:tc>
          <w:tcPr>
            <w:tcW w:w="3140" w:type="dxa"/>
            <w:vAlign w:val="bottom"/>
            <w:tcBorders>
              <w:right w:val="single" w:sz="8" w:color="D5DCE4"/>
            </w:tcBorders>
            <w:gridSpan w:val="2"/>
            <w:vMerge w:val="restart"/>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Processed</w:t>
            </w:r>
          </w:p>
        </w:tc>
        <w:tc>
          <w:tcPr>
            <w:tcW w:w="260" w:type="dxa"/>
            <w:vAlign w:val="bottom"/>
            <w:shd w:val="clear" w:color="auto" w:fill="D5DCE4"/>
          </w:tcPr>
          <w:p>
            <w:pPr>
              <w:spacing w:after="0"/>
              <w:rPr>
                <w:sz w:val="10"/>
                <w:szCs w:val="10"/>
                <w:color w:val="auto"/>
              </w:rPr>
            </w:pPr>
          </w:p>
        </w:tc>
        <w:tc>
          <w:tcPr>
            <w:tcW w:w="98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280" w:type="dxa"/>
            <w:vAlign w:val="bottom"/>
            <w:shd w:val="clear" w:color="auto" w:fill="D5DCE4"/>
          </w:tcPr>
          <w:p>
            <w:pPr>
              <w:spacing w:after="0"/>
              <w:rPr>
                <w:sz w:val="10"/>
                <w:szCs w:val="10"/>
                <w:color w:val="auto"/>
              </w:rPr>
            </w:pPr>
          </w:p>
        </w:tc>
        <w:tc>
          <w:tcPr>
            <w:tcW w:w="98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360" w:type="dxa"/>
            <w:vAlign w:val="bottom"/>
            <w:tcBorders>
              <w:right w:val="single" w:sz="8" w:color="D5DCE4"/>
            </w:tcBorders>
            <w:vMerge w:val="continue"/>
            <w:shd w:val="clear" w:color="auto" w:fill="D5DCE4"/>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20" w:type="dxa"/>
            <w:vAlign w:val="bottom"/>
            <w:tcBorders>
              <w:bottom w:val="single" w:sz="8" w:color="D5DCE4"/>
              <w:right w:val="single" w:sz="8" w:color="D5DCE4"/>
            </w:tcBorders>
            <w:shd w:val="clear" w:color="auto" w:fill="D5DCE4"/>
          </w:tcPr>
          <w:p>
            <w:pPr>
              <w:spacing w:after="0"/>
              <w:rPr>
                <w:sz w:val="9"/>
                <w:szCs w:val="9"/>
                <w:color w:val="auto"/>
              </w:rPr>
            </w:pPr>
          </w:p>
        </w:tc>
        <w:tc>
          <w:tcPr>
            <w:tcW w:w="314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260" w:type="dxa"/>
            <w:vAlign w:val="bottom"/>
            <w:tcBorders>
              <w:bottom w:val="single" w:sz="8" w:color="D5DCE4"/>
            </w:tcBorders>
            <w:shd w:val="clear" w:color="auto" w:fill="D5DCE4"/>
          </w:tcPr>
          <w:p>
            <w:pPr>
              <w:spacing w:after="0"/>
              <w:rPr>
                <w:sz w:val="9"/>
                <w:szCs w:val="9"/>
                <w:color w:val="auto"/>
              </w:rPr>
            </w:pPr>
          </w:p>
        </w:tc>
        <w:tc>
          <w:tcPr>
            <w:tcW w:w="98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280" w:type="dxa"/>
            <w:vAlign w:val="bottom"/>
            <w:tcBorders>
              <w:bottom w:val="single" w:sz="8" w:color="D5DCE4"/>
            </w:tcBorders>
            <w:shd w:val="clear" w:color="auto" w:fill="D5DCE4"/>
          </w:tcPr>
          <w:p>
            <w:pPr>
              <w:spacing w:after="0"/>
              <w:rPr>
                <w:sz w:val="9"/>
                <w:szCs w:val="9"/>
                <w:color w:val="auto"/>
              </w:rPr>
            </w:pPr>
          </w:p>
        </w:tc>
        <w:tc>
          <w:tcPr>
            <w:tcW w:w="98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1360" w:type="dxa"/>
            <w:vAlign w:val="bottom"/>
            <w:tcBorders>
              <w:bottom w:val="single" w:sz="8" w:color="D5DCE4"/>
              <w:right w:val="single" w:sz="8" w:color="D5DCE4"/>
            </w:tcBorders>
            <w:shd w:val="clear" w:color="auto" w:fill="D5DCE4"/>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Yield - Fully Electronic</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35,484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41,169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Yield - Electronically Processed</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288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17,543</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313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19,412</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European Credit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100,203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102,180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Municipal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458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27,962</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183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11,374</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149.86 %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Chinese Bonds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51,781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69,587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Credit Bonds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111</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6,952</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91</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5,790</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21.87 %</w:t>
            </w: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11,443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706,958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9,886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623,015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15.75 %</w:t>
            </w:r>
          </w:p>
        </w:tc>
        <w:tc>
          <w:tcPr>
            <w:tcW w:w="0" w:type="dxa"/>
            <w:vAlign w:val="bottom"/>
          </w:tcPr>
          <w:p>
            <w:pPr>
              <w:spacing w:after="0"/>
              <w:rPr>
                <w:sz w:val="1"/>
                <w:szCs w:val="1"/>
                <w:color w:val="auto"/>
              </w:rPr>
            </w:pPr>
          </w:p>
        </w:tc>
      </w:tr>
      <w:tr>
        <w:trPr>
          <w:trHeight w:val="247"/>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11,443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706,958</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9,886</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623,015</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15.75 %</w:t>
            </w:r>
          </w:p>
        </w:tc>
        <w:tc>
          <w:tcPr>
            <w:tcW w:w="0" w:type="dxa"/>
            <w:vAlign w:val="bottom"/>
          </w:tcPr>
          <w:p>
            <w:pPr>
              <w:spacing w:after="0"/>
              <w:rPr>
                <w:sz w:val="1"/>
                <w:szCs w:val="1"/>
                <w:color w:val="auto"/>
              </w:rPr>
            </w:pPr>
          </w:p>
        </w:tc>
      </w:tr>
      <w:tr>
        <w:trPr>
          <w:trHeight w:val="233"/>
        </w:trPr>
        <w:tc>
          <w:tcPr>
            <w:tcW w:w="1220" w:type="dxa"/>
            <w:vAlign w:val="bottom"/>
            <w:tcBorders>
              <w:bottom w:val="single" w:sz="8" w:color="D5DCE4"/>
            </w:tcBorders>
          </w:tcPr>
          <w:p>
            <w:pPr>
              <w:spacing w:after="0"/>
              <w:rPr>
                <w:sz w:val="20"/>
                <w:szCs w:val="20"/>
                <w:color w:val="auto"/>
              </w:rPr>
            </w:pPr>
          </w:p>
        </w:tc>
        <w:tc>
          <w:tcPr>
            <w:tcW w:w="314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21,563</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1,326,763</w:t>
            </w:r>
          </w:p>
        </w:tc>
        <w:tc>
          <w:tcPr>
            <w:tcW w:w="100" w:type="dxa"/>
            <w:vAlign w:val="bottom"/>
            <w:tcBorders>
              <w:bottom w:val="single" w:sz="8" w:color="D5DCE4"/>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18,725</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1,173,202</w:t>
            </w:r>
          </w:p>
        </w:tc>
        <w:tc>
          <w:tcPr>
            <w:tcW w:w="100" w:type="dxa"/>
            <w:vAlign w:val="bottom"/>
            <w:tcBorders>
              <w:bottom w:val="single" w:sz="8" w:color="D5DCE4"/>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15.16 %</w:t>
            </w:r>
          </w:p>
        </w:tc>
        <w:tc>
          <w:tcPr>
            <w:tcW w:w="0" w:type="dxa"/>
            <w:vAlign w:val="bottom"/>
          </w:tcPr>
          <w:p>
            <w:pPr>
              <w:spacing w:after="0"/>
              <w:rPr>
                <w:sz w:val="1"/>
                <w:szCs w:val="1"/>
                <w:color w:val="auto"/>
              </w:rPr>
            </w:pPr>
          </w:p>
        </w:tc>
      </w:tr>
      <w:tr>
        <w:trPr>
          <w:trHeight w:val="240"/>
        </w:trPr>
        <w:tc>
          <w:tcPr>
            <w:tcW w:w="122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31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9,595</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604,515</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shd w:val="clear" w:color="auto" w:fill="D5DCE4"/>
          </w:tcPr>
          <w:p>
            <w:pPr>
              <w:spacing w:after="0"/>
              <w:rPr>
                <w:sz w:val="20"/>
                <w:szCs w:val="20"/>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8,579</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549,052</w:t>
            </w:r>
          </w:p>
        </w:tc>
        <w:tc>
          <w:tcPr>
            <w:tcW w:w="100" w:type="dxa"/>
            <w:vAlign w:val="bottom"/>
            <w:tcBorders>
              <w:right w:val="single" w:sz="8" w:color="D5DCE4"/>
            </w:tcBorders>
            <w:shd w:val="clear" w:color="auto" w:fill="D5DCE4"/>
          </w:tcPr>
          <w:p>
            <w:pPr>
              <w:spacing w:after="0"/>
              <w:rPr>
                <w:sz w:val="20"/>
                <w:szCs w:val="20"/>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11.85 %</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ETFs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7,314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460,797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6,136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392,680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19.21 %</w:t>
            </w:r>
          </w:p>
        </w:tc>
        <w:tc>
          <w:tcPr>
            <w:tcW w:w="0" w:type="dxa"/>
            <w:vAlign w:val="bottom"/>
          </w:tcPr>
          <w:p>
            <w:pPr>
              <w:spacing w:after="0"/>
              <w:rPr>
                <w:sz w:val="1"/>
                <w:szCs w:val="1"/>
                <w:color w:val="auto"/>
              </w:rPr>
            </w:pPr>
          </w:p>
        </w:tc>
      </w:tr>
      <w:tr>
        <w:trPr>
          <w:trHeight w:val="251"/>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ETFs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2,281</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143,718</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2,443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156,373</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7,637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481,142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7,407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474,029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3.11 %</w:t>
            </w:r>
          </w:p>
        </w:tc>
        <w:tc>
          <w:tcPr>
            <w:tcW w:w="0" w:type="dxa"/>
            <w:vAlign w:val="bottom"/>
          </w:tcPr>
          <w:p>
            <w:pPr>
              <w:spacing w:after="0"/>
              <w:rPr>
                <w:sz w:val="1"/>
                <w:szCs w:val="1"/>
                <w:color w:val="auto"/>
              </w:rPr>
            </w:pPr>
          </w:p>
        </w:tc>
      </w:tr>
      <w:tr>
        <w:trPr>
          <w:trHeight w:val="247"/>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Convertibles/Swaps/Options</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4,377</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275,737</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3,455</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221,114</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26.68 %</w:t>
            </w:r>
          </w:p>
        </w:tc>
        <w:tc>
          <w:tcPr>
            <w:tcW w:w="0" w:type="dxa"/>
            <w:vAlign w:val="bottom"/>
          </w:tcPr>
          <w:p>
            <w:pPr>
              <w:spacing w:after="0"/>
              <w:rPr>
                <w:sz w:val="1"/>
                <w:szCs w:val="1"/>
                <w:color w:val="auto"/>
              </w:rPr>
            </w:pPr>
          </w:p>
        </w:tc>
      </w:tr>
      <w:tr>
        <w:trPr>
          <w:trHeight w:val="236"/>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3,260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205,405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3,952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252,915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43"/>
        </w:trPr>
        <w:tc>
          <w:tcPr>
            <w:tcW w:w="1220" w:type="dxa"/>
            <w:vAlign w:val="bottom"/>
            <w:tcBorders>
              <w:top w:val="single" w:sz="8" w:color="D5DCE4"/>
              <w:right w:val="single" w:sz="8" w:color="D5DCE4"/>
            </w:tcBorders>
            <w:shd w:val="clear" w:color="auto" w:fill="D5DCE4"/>
          </w:tcPr>
          <w:p>
            <w:pPr>
              <w:spacing w:after="0"/>
              <w:rPr>
                <w:sz w:val="21"/>
                <w:szCs w:val="21"/>
                <w:color w:val="auto"/>
              </w:rPr>
            </w:pPr>
          </w:p>
        </w:tc>
        <w:tc>
          <w:tcPr>
            <w:tcW w:w="314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shd w:val="clear" w:color="auto" w:fill="D5DCE4"/>
          </w:tcPr>
          <w:p>
            <w:pPr>
              <w:spacing w:after="0"/>
              <w:rPr>
                <w:sz w:val="21"/>
                <w:szCs w:val="21"/>
                <w:color w:val="auto"/>
              </w:rPr>
            </w:pPr>
          </w:p>
        </w:tc>
        <w:tc>
          <w:tcPr>
            <w:tcW w:w="98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17,233</w:t>
            </w:r>
          </w:p>
        </w:tc>
        <w:tc>
          <w:tcPr>
            <w:tcW w:w="160" w:type="dxa"/>
            <w:vAlign w:val="bottom"/>
            <w:tcBorders>
              <w:top w:val="single" w:sz="8" w:color="auto"/>
              <w:bottom w:val="single" w:sz="8" w:color="auto"/>
            </w:tcBorders>
            <w:shd w:val="clear" w:color="auto" w:fill="D5DCE4"/>
          </w:tcPr>
          <w:p>
            <w:pPr>
              <w:spacing w:after="0"/>
              <w:rPr>
                <w:sz w:val="21"/>
                <w:szCs w:val="21"/>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1,085,656</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280" w:type="dxa"/>
            <w:vAlign w:val="bottom"/>
            <w:tcBorders>
              <w:top w:val="single" w:sz="8" w:color="auto"/>
              <w:bottom w:val="single" w:sz="8" w:color="auto"/>
            </w:tcBorders>
            <w:shd w:val="clear" w:color="auto" w:fill="D5DCE4"/>
          </w:tcPr>
          <w:p>
            <w:pPr>
              <w:spacing w:after="0"/>
              <w:rPr>
                <w:sz w:val="21"/>
                <w:szCs w:val="21"/>
                <w:color w:val="auto"/>
              </w:rPr>
            </w:pPr>
          </w:p>
        </w:tc>
        <w:tc>
          <w:tcPr>
            <w:tcW w:w="98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15,986</w:t>
            </w:r>
          </w:p>
        </w:tc>
        <w:tc>
          <w:tcPr>
            <w:tcW w:w="160" w:type="dxa"/>
            <w:vAlign w:val="bottom"/>
            <w:tcBorders>
              <w:top w:val="single" w:sz="8" w:color="auto"/>
              <w:bottom w:val="single" w:sz="8" w:color="auto"/>
            </w:tcBorders>
            <w:shd w:val="clear" w:color="auto" w:fill="D5DCE4"/>
          </w:tcPr>
          <w:p>
            <w:pPr>
              <w:spacing w:after="0"/>
              <w:rPr>
                <w:sz w:val="21"/>
                <w:szCs w:val="21"/>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1,023,081</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36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7.80 %</w:t>
            </w: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3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400,884</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24,585,919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350,803</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21,888,973</w:t>
            </w:r>
          </w:p>
        </w:tc>
        <w:tc>
          <w:tcPr>
            <w:tcW w:w="1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14.28 %</w:t>
            </w:r>
          </w:p>
        </w:tc>
        <w:tc>
          <w:tcPr>
            <w:tcW w:w="0" w:type="dxa"/>
            <w:vAlign w:val="bottom"/>
          </w:tcPr>
          <w:p>
            <w:pPr>
              <w:spacing w:after="0"/>
              <w:rPr>
                <w:sz w:val="1"/>
                <w:szCs w:val="1"/>
                <w:color w:val="auto"/>
              </w:rPr>
            </w:pPr>
          </w:p>
        </w:tc>
      </w:tr>
      <w:tr>
        <w:trPr>
          <w:trHeight w:val="142"/>
        </w:trPr>
        <w:tc>
          <w:tcPr>
            <w:tcW w:w="1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3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20" w:type="dxa"/>
            <w:vAlign w:val="bottom"/>
            <w:vMerge w:val="continue"/>
          </w:tcPr>
          <w:p>
            <w:pPr>
              <w:spacing w:after="0"/>
              <w:rPr>
                <w:sz w:val="7"/>
                <w:szCs w:val="7"/>
                <w:color w:val="auto"/>
              </w:rPr>
            </w:pPr>
          </w:p>
        </w:tc>
        <w:tc>
          <w:tcPr>
            <w:tcW w:w="3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20" w:type="dxa"/>
            <w:vAlign w:val="bottom"/>
            <w:tcBorders>
              <w:right w:val="single" w:sz="8" w:color="D5DCE4"/>
            </w:tcBorders>
            <w:shd w:val="clear" w:color="auto" w:fill="D5DCE4"/>
          </w:tcPr>
          <w:p>
            <w:pPr>
              <w:spacing w:after="0"/>
              <w:rPr>
                <w:sz w:val="21"/>
                <w:szCs w:val="21"/>
                <w:color w:val="auto"/>
              </w:rPr>
            </w:pPr>
          </w:p>
        </w:tc>
        <w:tc>
          <w:tcPr>
            <w:tcW w:w="31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Repurchase Agreements (Repo)</w:t>
            </w:r>
          </w:p>
        </w:tc>
        <w:tc>
          <w:tcPr>
            <w:tcW w:w="26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383,070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23,498,024</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336,820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21,021,413</w:t>
            </w:r>
          </w:p>
        </w:tc>
        <w:tc>
          <w:tcPr>
            <w:tcW w:w="100" w:type="dxa"/>
            <w:vAlign w:val="bottom"/>
            <w:tcBorders>
              <w:right w:val="single" w:sz="8" w:color="D5DCE4"/>
            </w:tcBorders>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13.73 %</w:t>
            </w:r>
          </w:p>
        </w:tc>
        <w:tc>
          <w:tcPr>
            <w:tcW w:w="0" w:type="dxa"/>
            <w:vAlign w:val="bottom"/>
          </w:tcPr>
          <w:p>
            <w:pPr>
              <w:spacing w:after="0"/>
              <w:rPr>
                <w:sz w:val="1"/>
                <w:szCs w:val="1"/>
                <w:color w:val="auto"/>
              </w:rPr>
            </w:pPr>
          </w:p>
        </w:tc>
      </w:tr>
      <w:tr>
        <w:trPr>
          <w:trHeight w:val="236"/>
        </w:trPr>
        <w:tc>
          <w:tcPr>
            <w:tcW w:w="1220" w:type="dxa"/>
            <w:vAlign w:val="bottom"/>
          </w:tcPr>
          <w:p>
            <w:pPr>
              <w:spacing w:after="0"/>
              <w:rPr>
                <w:sz w:val="20"/>
                <w:szCs w:val="20"/>
                <w:color w:val="auto"/>
              </w:rPr>
            </w:pPr>
          </w:p>
        </w:tc>
        <w:tc>
          <w:tcPr>
            <w:tcW w:w="31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Other Money Markets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17,813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1,087,895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13,984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867,560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27.39 %</w:t>
            </w:r>
          </w:p>
        </w:tc>
        <w:tc>
          <w:tcPr>
            <w:tcW w:w="0" w:type="dxa"/>
            <w:vAlign w:val="bottom"/>
          </w:tcPr>
          <w:p>
            <w:pPr>
              <w:spacing w:after="0"/>
              <w:rPr>
                <w:sz w:val="1"/>
                <w:szCs w:val="1"/>
                <w:color w:val="auto"/>
              </w:rPr>
            </w:pPr>
          </w:p>
        </w:tc>
      </w:tr>
      <w:tr>
        <w:trPr>
          <w:trHeight w:val="239"/>
        </w:trPr>
        <w:tc>
          <w:tcPr>
            <w:tcW w:w="1220" w:type="dxa"/>
            <w:vAlign w:val="bottom"/>
            <w:tcBorders>
              <w:top w:val="single" w:sz="8" w:color="D5DCE4"/>
              <w:right w:val="single" w:sz="8" w:color="D5DCE4"/>
            </w:tcBorders>
            <w:shd w:val="clear" w:color="auto" w:fill="D5DCE4"/>
          </w:tcPr>
          <w:p>
            <w:pPr>
              <w:spacing w:after="0"/>
              <w:rPr>
                <w:sz w:val="20"/>
                <w:szCs w:val="20"/>
                <w:color w:val="auto"/>
              </w:rPr>
            </w:pPr>
          </w:p>
        </w:tc>
        <w:tc>
          <w:tcPr>
            <w:tcW w:w="314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shd w:val="clear" w:color="auto" w:fill="D5DCE4"/>
          </w:tcPr>
          <w:p>
            <w:pPr>
              <w:spacing w:after="0"/>
              <w:rPr>
                <w:sz w:val="20"/>
                <w:szCs w:val="20"/>
                <w:color w:val="auto"/>
              </w:rPr>
            </w:pPr>
          </w:p>
        </w:tc>
        <w:tc>
          <w:tcPr>
            <w:tcW w:w="98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400,884</w:t>
            </w:r>
          </w:p>
        </w:tc>
        <w:tc>
          <w:tcPr>
            <w:tcW w:w="160" w:type="dxa"/>
            <w:vAlign w:val="bottom"/>
            <w:tcBorders>
              <w:top w:val="single" w:sz="8" w:color="auto"/>
              <w:bottom w:val="single" w:sz="8" w:color="auto"/>
            </w:tcBorders>
            <w:shd w:val="clear" w:color="auto" w:fill="D5DCE4"/>
          </w:tcPr>
          <w:p>
            <w:pPr>
              <w:spacing w:after="0"/>
              <w:rPr>
                <w:sz w:val="20"/>
                <w:szCs w:val="20"/>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24,585,919</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280" w:type="dxa"/>
            <w:vAlign w:val="bottom"/>
            <w:tcBorders>
              <w:top w:val="single" w:sz="8" w:color="auto"/>
              <w:bottom w:val="single" w:sz="8" w:color="auto"/>
            </w:tcBorders>
            <w:shd w:val="clear" w:color="auto" w:fill="D5DCE4"/>
          </w:tcPr>
          <w:p>
            <w:pPr>
              <w:spacing w:after="0"/>
              <w:rPr>
                <w:sz w:val="20"/>
                <w:szCs w:val="20"/>
                <w:color w:val="auto"/>
              </w:rPr>
            </w:pPr>
          </w:p>
        </w:tc>
        <w:tc>
          <w:tcPr>
            <w:tcW w:w="98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350,803</w:t>
            </w:r>
          </w:p>
        </w:tc>
        <w:tc>
          <w:tcPr>
            <w:tcW w:w="160" w:type="dxa"/>
            <w:vAlign w:val="bottom"/>
            <w:tcBorders>
              <w:top w:val="single" w:sz="8" w:color="auto"/>
              <w:bottom w:val="single" w:sz="8" w:color="auto"/>
            </w:tcBorders>
            <w:shd w:val="clear" w:color="auto" w:fill="D5DCE4"/>
          </w:tcPr>
          <w:p>
            <w:pPr>
              <w:spacing w:after="0"/>
              <w:rPr>
                <w:sz w:val="20"/>
                <w:szCs w:val="20"/>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21,888,973</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36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14.28 %</w:t>
            </w:r>
          </w:p>
        </w:tc>
        <w:tc>
          <w:tcPr>
            <w:tcW w:w="0" w:type="dxa"/>
            <w:vAlign w:val="bottom"/>
          </w:tcPr>
          <w:p>
            <w:pPr>
              <w:spacing w:after="0"/>
              <w:rPr>
                <w:sz w:val="1"/>
                <w:szCs w:val="1"/>
                <w:color w:val="auto"/>
              </w:rPr>
            </w:pPr>
          </w:p>
        </w:tc>
      </w:tr>
      <w:tr>
        <w:trPr>
          <w:trHeight w:val="200"/>
        </w:trPr>
        <w:tc>
          <w:tcPr>
            <w:tcW w:w="1220" w:type="dxa"/>
            <w:vAlign w:val="bottom"/>
            <w:tcBorders>
              <w:bottom w:val="single" w:sz="8" w:color="D5DCE4"/>
            </w:tcBorders>
          </w:tcPr>
          <w:p>
            <w:pPr>
              <w:spacing w:after="0"/>
              <w:rPr>
                <w:sz w:val="17"/>
                <w:szCs w:val="17"/>
                <w:color w:val="auto"/>
              </w:rPr>
            </w:pPr>
          </w:p>
        </w:tc>
        <w:tc>
          <w:tcPr>
            <w:tcW w:w="3020" w:type="dxa"/>
            <w:vAlign w:val="bottom"/>
            <w:tcBorders>
              <w:bottom w:val="single" w:sz="8" w:color="D5DCE4"/>
            </w:tcBorders>
          </w:tcPr>
          <w:p>
            <w:pPr>
              <w:spacing w:after="0"/>
              <w:rPr>
                <w:sz w:val="17"/>
                <w:szCs w:val="17"/>
                <w:color w:val="auto"/>
              </w:rPr>
            </w:pPr>
          </w:p>
        </w:tc>
        <w:tc>
          <w:tcPr>
            <w:tcW w:w="120" w:type="dxa"/>
            <w:vAlign w:val="bottom"/>
            <w:tcBorders>
              <w:bottom w:val="single" w:sz="8" w:color="D5DCE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20" w:type="dxa"/>
            <w:vAlign w:val="bottom"/>
            <w:tcBorders>
              <w:right w:val="single" w:sz="8" w:color="D5DCE4"/>
            </w:tcBorders>
            <w:shd w:val="clear" w:color="auto" w:fill="D5DCE4"/>
          </w:tcPr>
          <w:p>
            <w:pPr>
              <w:spacing w:after="0"/>
              <w:rPr>
                <w:sz w:val="16"/>
                <w:szCs w:val="16"/>
                <w:color w:val="auto"/>
              </w:rPr>
            </w:pPr>
          </w:p>
        </w:tc>
        <w:tc>
          <w:tcPr>
            <w:tcW w:w="3020" w:type="dxa"/>
            <w:vAlign w:val="bottom"/>
            <w:shd w:val="clear" w:color="auto" w:fill="D5DCE4"/>
          </w:tcPr>
          <w:p>
            <w:pPr>
              <w:spacing w:after="0"/>
              <w:rPr>
                <w:sz w:val="16"/>
                <w:szCs w:val="16"/>
                <w:color w:val="auto"/>
              </w:rPr>
            </w:pPr>
          </w:p>
        </w:tc>
        <w:tc>
          <w:tcPr>
            <w:tcW w:w="120" w:type="dxa"/>
            <w:vAlign w:val="bottom"/>
            <w:tcBorders>
              <w:right w:val="single" w:sz="8" w:color="auto"/>
            </w:tcBorders>
            <w:shd w:val="clear" w:color="auto" w:fill="D5DCE4"/>
          </w:tcPr>
          <w:p>
            <w:pPr>
              <w:spacing w:after="0"/>
              <w:rPr>
                <w:sz w:val="16"/>
                <w:szCs w:val="16"/>
                <w:color w:val="auto"/>
              </w:rPr>
            </w:pPr>
          </w:p>
        </w:tc>
        <w:tc>
          <w:tcPr>
            <w:tcW w:w="260" w:type="dxa"/>
            <w:vAlign w:val="bottom"/>
            <w:shd w:val="clear" w:color="auto" w:fill="D5DCE4"/>
          </w:tcPr>
          <w:p>
            <w:pPr>
              <w:spacing w:after="0"/>
              <w:rPr>
                <w:sz w:val="16"/>
                <w:szCs w:val="16"/>
                <w:color w:val="auto"/>
              </w:rPr>
            </w:pPr>
          </w:p>
        </w:tc>
        <w:tc>
          <w:tcPr>
            <w:tcW w:w="980" w:type="dxa"/>
            <w:vAlign w:val="bottom"/>
            <w:tcBorders>
              <w:right w:val="single" w:sz="8" w:color="auto"/>
            </w:tcBorders>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60" w:type="dxa"/>
            <w:vAlign w:val="bottom"/>
            <w:tcBorders>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Volume (USD</w:t>
            </w:r>
          </w:p>
        </w:tc>
        <w:tc>
          <w:tcPr>
            <w:tcW w:w="280" w:type="dxa"/>
            <w:vAlign w:val="bottom"/>
            <w:shd w:val="clear" w:color="auto" w:fill="D5DCE4"/>
          </w:tcPr>
          <w:p>
            <w:pPr>
              <w:spacing w:after="0"/>
              <w:rPr>
                <w:sz w:val="16"/>
                <w:szCs w:val="16"/>
                <w:color w:val="auto"/>
              </w:rPr>
            </w:pPr>
          </w:p>
        </w:tc>
        <w:tc>
          <w:tcPr>
            <w:tcW w:w="980" w:type="dxa"/>
            <w:vAlign w:val="bottom"/>
            <w:tcBorders>
              <w:right w:val="single" w:sz="8" w:color="auto"/>
            </w:tcBorders>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60" w:type="dxa"/>
            <w:vAlign w:val="bottom"/>
            <w:tcBorders>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Volume (USD</w:t>
            </w:r>
          </w:p>
        </w:tc>
        <w:tc>
          <w:tcPr>
            <w:tcW w:w="1360" w:type="dxa"/>
            <w:vAlign w:val="bottom"/>
            <w:tcBorders>
              <w:right w:val="single" w:sz="8" w:color="auto"/>
            </w:tcBorders>
            <w:shd w:val="clear" w:color="auto" w:fill="D5DCE4"/>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bottom w:val="single" w:sz="8" w:color="auto"/>
            </w:tcBorders>
            <w:shd w:val="clear" w:color="auto" w:fill="D5DCE4"/>
          </w:tcPr>
          <w:p>
            <w:pPr>
              <w:spacing w:after="0"/>
              <w:rPr>
                <w:sz w:val="20"/>
                <w:szCs w:val="20"/>
                <w:color w:val="auto"/>
              </w:rPr>
            </w:pPr>
          </w:p>
        </w:tc>
        <w:tc>
          <w:tcPr>
            <w:tcW w:w="120" w:type="dxa"/>
            <w:vAlign w:val="bottom"/>
            <w:tcBorders>
              <w:bottom w:val="single" w:sz="8" w:color="auto"/>
              <w:right w:val="single" w:sz="8" w:color="auto"/>
            </w:tcBorders>
            <w:shd w:val="clear" w:color="auto" w:fill="D5DCE4"/>
          </w:tcPr>
          <w:p>
            <w:pPr>
              <w:spacing w:after="0"/>
              <w:rPr>
                <w:sz w:val="20"/>
                <w:szCs w:val="20"/>
                <w:color w:val="auto"/>
              </w:rPr>
            </w:pPr>
          </w:p>
        </w:tc>
        <w:tc>
          <w:tcPr>
            <w:tcW w:w="1240" w:type="dxa"/>
            <w:vAlign w:val="bottom"/>
            <w:tcBorders>
              <w:bottom w:val="single" w:sz="8" w:color="auto"/>
              <w:right w:val="single" w:sz="8" w:color="auto"/>
            </w:tcBorders>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ADV (USD mm)</w:t>
            </w:r>
          </w:p>
        </w:tc>
        <w:tc>
          <w:tcPr>
            <w:tcW w:w="16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mm)</w:t>
            </w:r>
          </w:p>
        </w:tc>
        <w:tc>
          <w:tcPr>
            <w:tcW w:w="1260" w:type="dxa"/>
            <w:vAlign w:val="bottom"/>
            <w:tcBorders>
              <w:bottom w:val="single" w:sz="8" w:color="auto"/>
              <w:right w:val="single" w:sz="8" w:color="auto"/>
            </w:tcBorders>
            <w:gridSpan w:val="2"/>
            <w:shd w:val="clear" w:color="auto" w:fill="D5DCE4"/>
          </w:tcPr>
          <w:p>
            <w:pPr>
              <w:ind w:left="40"/>
              <w:spacing w:after="0"/>
              <w:rPr>
                <w:sz w:val="20"/>
                <w:szCs w:val="20"/>
                <w:color w:val="auto"/>
              </w:rPr>
            </w:pPr>
            <w:r>
              <w:rPr>
                <w:rFonts w:ascii="Arial" w:cs="Arial" w:eastAsia="Arial" w:hAnsi="Arial"/>
                <w:sz w:val="16"/>
                <w:szCs w:val="16"/>
                <w:b w:val="1"/>
                <w:bCs w:val="1"/>
                <w:color w:val="auto"/>
              </w:rPr>
              <w:t>ADV (USD mm)</w:t>
            </w:r>
          </w:p>
        </w:tc>
        <w:tc>
          <w:tcPr>
            <w:tcW w:w="16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mm)</w:t>
            </w:r>
          </w:p>
        </w:tc>
        <w:tc>
          <w:tcPr>
            <w:tcW w:w="1360" w:type="dxa"/>
            <w:vAlign w:val="bottom"/>
            <w:tcBorders>
              <w:bottom w:val="single" w:sz="8" w:color="auto"/>
              <w:right w:val="single" w:sz="8" w:color="auto"/>
            </w:tcBorders>
            <w:shd w:val="clear" w:color="auto" w:fill="D5DCE4"/>
          </w:tcPr>
          <w:p>
            <w:pPr>
              <w:ind w:left="52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1,068,888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65,750,676</w:t>
            </w: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1,114,537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69,713,476</w:t>
            </w:r>
          </w:p>
        </w:tc>
        <w:tc>
          <w:tcPr>
            <w:tcW w:w="1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(4.10)%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46"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60"/>
          </w:cols>
          <w:pgMar w:left="320" w:top="773"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FORWARD-LOOKING STATEMENTS</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2023 guidance, and future performance, the industry and markets in which we operate, our expectations, beliefs, plans, strategies, objectives, prospects and assumptions and future events are forward-looking statements.</w:t>
      </w:r>
    </w:p>
    <w:p>
      <w:pPr>
        <w:spacing w:after="0" w:line="17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BASIS OF PRESENTATION</w:t>
      </w:r>
    </w:p>
    <w:p>
      <w:pPr>
        <w:spacing w:after="0" w:line="12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0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This presentation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1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27"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Free Cash Flow, Adjusted Expenses and constant currency growth,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9" w:right="339" w:bottom="1440" w:gutter="0" w:footer="0" w:header="0"/>
        </w:sectPr>
      </w:pPr>
    </w:p>
    <w:bookmarkStart w:id="13" w:name="page14"/>
    <w:bookmarkEnd w:id="13"/>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213"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16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9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annual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w:t>
      </w:r>
    </w:p>
    <w:p>
      <w:pPr>
        <w:spacing w:after="0" w:line="201"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7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2023-02-02T06:06:08Z</dcterms:created>
  <dcterms:modified xsi:type="dcterms:W3CDTF">2023-02-02T06:06:08Z</dcterms:modified>
</cp:coreProperties>
</file>