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April 20,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April 20,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333-237760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6134100</wp:posOffset>
            </wp:positionH>
            <wp:positionV relativeFrom="paragraph">
              <wp:posOffset>5715</wp:posOffset>
            </wp:positionV>
            <wp:extent cx="100266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266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TRADEWEB MARKETS ANNOUNCES LAUNCH OF FOLLOW-ON OFFERING AND PRELIMINARY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21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NEW YORK – April 20, 2020 – Tradeweb Markets Inc. (Nasdaq: TW), a leading, global operator of electronic marketplaces for rates, credit, equities and money markets, today announced the launch of an underwritten offering of 10,950,000 shares of its Class A common stock, subject to market conditions and other factors. Tradeweb expects to grant the underwriters a 30-day option to purchase up to an additional 1,642,500 shares of Class A common stock at the public offering price, less the underwriting discounts and commissions.</w:t>
      </w:r>
    </w:p>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 conjunction with this offering, Tradeweb Markets Inc. disclosed its preliminary financial results for the first quarter of 2020, which are discussed below and include GAAP and adjusted EPS of $0.25 and $0.37 respectively.</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Tradeweb intends to use the net proceeds from the offering to purchase equity interests from certain existing owners. Refinitiv will continue to own a controlling interest in Tradeweb following the offering. J.P. Morgan, Barclays, Citigroup, Goldman Sachs &amp; Co. LLC and Morgan Stanley are acting as the joint book-running managers for the offering.</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First Quarter 2020 Financial Results</w:t>
      </w:r>
    </w:p>
    <w:p>
      <w:pPr>
        <w:spacing w:after="0" w:line="27"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The preliminary prospectus included in the registration statement filed by Tradeweb in connection with the proposed offering contains Tradeweb’s preliminary unaudited financial results for the three months ended March 31, 2020, which have also been included in a Current Report on Form 8-K furnished today with the SEC. Tradeweb is currently in the process of finalizing its financial results for the three months ended March 31, 2020. Because Tradeweb’s consolidated financial statements for these periods are not yet available, the preliminary financial results included in the preliminary prospectus and set forth below are based on current estimates and remain subject to completion.</w:t>
      </w:r>
    </w:p>
    <w:p>
      <w:pPr>
        <w:spacing w:after="0" w:line="191" w:lineRule="exact"/>
        <w:rPr>
          <w:sz w:val="24"/>
          <w:szCs w:val="24"/>
          <w:color w:val="auto"/>
        </w:rPr>
      </w:pPr>
    </w:p>
    <w:p>
      <w:pPr>
        <w:jc w:val="both"/>
        <w:ind w:right="400"/>
        <w:spacing w:after="0" w:line="263" w:lineRule="auto"/>
        <w:rPr>
          <w:sz w:val="20"/>
          <w:szCs w:val="20"/>
          <w:color w:val="auto"/>
        </w:rPr>
      </w:pPr>
      <w:r>
        <w:rPr>
          <w:rFonts w:ascii="Arial" w:cs="Arial" w:eastAsia="Arial" w:hAnsi="Arial"/>
          <w:sz w:val="18"/>
          <w:szCs w:val="18"/>
          <w:color w:val="auto"/>
        </w:rPr>
        <w:t>Set forth below are management’s estimates for expected gross revenue, total expenses, net income, net income attributable to Tradeweb Markets Inc., diluted earnings per share, Adjusted EBITDA, Adjusted EBITDA margin, Adjusted EBIT, Adjusted EBIT margin, Adjusted Net Income and Adjusted Diluted EPS for the three months ended March 31, 2020:</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294"/>
              <w:spacing w:after="0"/>
              <w:rPr>
                <w:sz w:val="20"/>
                <w:szCs w:val="20"/>
                <w:color w:val="auto"/>
              </w:rPr>
            </w:pPr>
            <w:r>
              <w:rPr>
                <w:rFonts w:ascii="Arial" w:cs="Arial" w:eastAsia="Arial" w:hAnsi="Arial"/>
                <w:sz w:val="18"/>
                <w:szCs w:val="18"/>
                <w:b w:val="1"/>
                <w:bCs w:val="1"/>
                <w:color w:val="auto"/>
                <w:w w:val="91"/>
              </w:rPr>
              <w:t>Three Months</w:t>
            </w:r>
          </w:p>
        </w:tc>
        <w:tc>
          <w:tcPr>
            <w:tcW w:w="200" w:type="dxa"/>
            <w:vAlign w:val="bottom"/>
          </w:tcPr>
          <w:p>
            <w:pPr>
              <w:spacing w:after="0"/>
              <w:rPr>
                <w:sz w:val="18"/>
                <w:szCs w:val="18"/>
                <w:color w:val="auto"/>
              </w:rPr>
            </w:pPr>
          </w:p>
        </w:tc>
        <w:tc>
          <w:tcPr>
            <w:tcW w:w="1660" w:type="dxa"/>
            <w:vAlign w:val="bottom"/>
            <w:gridSpan w:val="2"/>
          </w:tcPr>
          <w:p>
            <w:pPr>
              <w:jc w:val="center"/>
              <w:ind w:right="312"/>
              <w:spacing w:after="0"/>
              <w:rPr>
                <w:sz w:val="20"/>
                <w:szCs w:val="20"/>
                <w:color w:val="auto"/>
              </w:rPr>
            </w:pPr>
            <w:r>
              <w:rPr>
                <w:rFonts w:ascii="Arial" w:cs="Arial" w:eastAsia="Arial" w:hAnsi="Arial"/>
                <w:sz w:val="18"/>
                <w:szCs w:val="18"/>
                <w:b w:val="1"/>
                <w:bCs w:val="1"/>
                <w:color w:val="auto"/>
                <w:w w:val="93"/>
              </w:rPr>
              <w:t>Three Months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center"/>
              <w:ind w:right="274"/>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9"/>
                <w:szCs w:val="19"/>
                <w:color w:val="auto"/>
              </w:rPr>
            </w:pPr>
          </w:p>
        </w:tc>
        <w:tc>
          <w:tcPr>
            <w:tcW w:w="1660" w:type="dxa"/>
            <w:vAlign w:val="bottom"/>
            <w:gridSpan w:val="2"/>
          </w:tcPr>
          <w:p>
            <w:pPr>
              <w:jc w:val="center"/>
              <w:ind w:right="312"/>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center"/>
              <w:ind w:right="294"/>
              <w:spacing w:after="0"/>
              <w:rPr>
                <w:sz w:val="20"/>
                <w:szCs w:val="20"/>
                <w:color w:val="auto"/>
              </w:rPr>
            </w:pPr>
            <w:r>
              <w:rPr>
                <w:rFonts w:ascii="Arial" w:cs="Arial" w:eastAsia="Arial" w:hAnsi="Arial"/>
                <w:sz w:val="18"/>
                <w:szCs w:val="18"/>
                <w:b w:val="1"/>
                <w:bCs w:val="1"/>
                <w:color w:val="auto"/>
                <w:w w:val="93"/>
              </w:rPr>
              <w:t>March 31, 2020</w:t>
            </w:r>
          </w:p>
        </w:tc>
        <w:tc>
          <w:tcPr>
            <w:tcW w:w="200" w:type="dxa"/>
            <w:vAlign w:val="bottom"/>
          </w:tcPr>
          <w:p>
            <w:pPr>
              <w:spacing w:after="0"/>
              <w:rPr>
                <w:sz w:val="20"/>
                <w:szCs w:val="20"/>
                <w:color w:val="auto"/>
              </w:rPr>
            </w:pPr>
          </w:p>
        </w:tc>
        <w:tc>
          <w:tcPr>
            <w:tcW w:w="1660" w:type="dxa"/>
            <w:vAlign w:val="bottom"/>
            <w:gridSpan w:val="2"/>
          </w:tcPr>
          <w:p>
            <w:pPr>
              <w:jc w:val="center"/>
              <w:ind w:right="312"/>
              <w:spacing w:after="0"/>
              <w:rPr>
                <w:sz w:val="20"/>
                <w:szCs w:val="20"/>
                <w:color w:val="auto"/>
              </w:rPr>
            </w:pPr>
            <w:r>
              <w:rPr>
                <w:rFonts w:ascii="Arial" w:cs="Arial" w:eastAsia="Arial" w:hAnsi="Arial"/>
                <w:sz w:val="18"/>
                <w:szCs w:val="18"/>
                <w:b w:val="1"/>
                <w:bCs w:val="1"/>
                <w:color w:val="auto"/>
                <w:w w:val="92"/>
              </w:rPr>
              <w:t>March 31, 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 Change</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(dollars in thousands, except per share data)</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Rates</w:t>
            </w:r>
          </w:p>
        </w:tc>
        <w:tc>
          <w:tcPr>
            <w:tcW w:w="2440" w:type="dxa"/>
            <w:vAlign w:val="bottom"/>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126,039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104,090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21,949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53,978</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39,435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Equities</w:t>
            </w: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19,434</w:t>
            </w:r>
          </w:p>
        </w:tc>
        <w:tc>
          <w:tcPr>
            <w:tcW w:w="200" w:type="dxa"/>
            <w:vAlign w:val="bottom"/>
          </w:tcPr>
          <w:p>
            <w:pPr>
              <w:spacing w:after="0"/>
              <w:rPr>
                <w:sz w:val="18"/>
                <w:szCs w:val="18"/>
                <w:color w:val="auto"/>
              </w:rPr>
            </w:pP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11,798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7,636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11,208</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9,562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Market Data</w:t>
            </w: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18,562</w:t>
            </w:r>
          </w:p>
        </w:tc>
        <w:tc>
          <w:tcPr>
            <w:tcW w:w="200" w:type="dxa"/>
            <w:vAlign w:val="bottom"/>
          </w:tcPr>
          <w:p>
            <w:pPr>
              <w:spacing w:after="0"/>
              <w:rPr>
                <w:sz w:val="18"/>
                <w:szCs w:val="18"/>
                <w:color w:val="auto"/>
              </w:rPr>
            </w:pP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16,903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5,385</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5,004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Gross Revenue</w:t>
            </w: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234,606</w:t>
            </w:r>
          </w:p>
        </w:tc>
        <w:tc>
          <w:tcPr>
            <w:tcW w:w="200" w:type="dxa"/>
            <w:vAlign w:val="bottom"/>
          </w:tcPr>
          <w:p>
            <w:pPr>
              <w:spacing w:after="0"/>
              <w:rPr>
                <w:sz w:val="18"/>
                <w:szCs w:val="18"/>
                <w:color w:val="auto"/>
              </w:rPr>
            </w:pP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186,792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47,814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156,991</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140,515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62,485</w:t>
            </w:r>
          </w:p>
        </w:tc>
        <w:tc>
          <w:tcPr>
            <w:tcW w:w="200" w:type="dxa"/>
            <w:vAlign w:val="bottom"/>
          </w:tcPr>
          <w:p>
            <w:pPr>
              <w:spacing w:after="0"/>
              <w:rPr>
                <w:sz w:val="18"/>
                <w:szCs w:val="18"/>
                <w:color w:val="auto"/>
              </w:rPr>
            </w:pP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42,352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20,133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Tradeweb Markets Inc.</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43,928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2440" w:type="dxa"/>
            <w:vAlign w:val="bottom"/>
          </w:tcPr>
          <w:p>
            <w:pPr>
              <w:jc w:val="right"/>
              <w:ind w:right="2065"/>
              <w:spacing w:after="0" w:line="135" w:lineRule="exact"/>
              <w:rPr>
                <w:sz w:val="20"/>
                <w:szCs w:val="20"/>
                <w:color w:val="auto"/>
              </w:rPr>
            </w:pPr>
            <w:r>
              <w:rPr>
                <w:rFonts w:ascii="Arial" w:cs="Arial" w:eastAsia="Arial" w:hAnsi="Arial"/>
                <w:sz w:val="15"/>
                <w:szCs w:val="15"/>
                <w:color w:val="auto"/>
              </w:rPr>
              <w:t>(1)</w:t>
            </w:r>
          </w:p>
        </w:tc>
        <w:tc>
          <w:tcPr>
            <w:tcW w:w="740" w:type="dxa"/>
            <w:vAlign w:val="bottom"/>
            <w:gridSpan w:val="2"/>
            <w:vMerge w:val="restart"/>
          </w:tcPr>
          <w:p>
            <w:pPr>
              <w:ind w:left="600"/>
              <w:spacing w:after="0" w:line="162" w:lineRule="exact"/>
              <w:rPr>
                <w:sz w:val="20"/>
                <w:szCs w:val="20"/>
                <w:color w:val="auto"/>
              </w:rPr>
            </w:pPr>
            <w:r>
              <w:rPr>
                <w:rFonts w:ascii="Arial" w:cs="Arial" w:eastAsia="Arial" w:hAnsi="Arial"/>
                <w:sz w:val="18"/>
                <w:szCs w:val="18"/>
                <w:color w:val="auto"/>
              </w:rPr>
              <w:t>$</w:t>
            </w:r>
          </w:p>
        </w:tc>
        <w:tc>
          <w:tcPr>
            <w:tcW w:w="1660" w:type="dxa"/>
            <w:vAlign w:val="bottom"/>
            <w:vMerge w:val="restart"/>
          </w:tcPr>
          <w:p>
            <w:pPr>
              <w:jc w:val="right"/>
              <w:ind w:right="154"/>
              <w:spacing w:after="0" w:line="162" w:lineRule="exact"/>
              <w:rPr>
                <w:sz w:val="20"/>
                <w:szCs w:val="20"/>
                <w:color w:val="auto"/>
              </w:rPr>
            </w:pPr>
            <w:r>
              <w:rPr>
                <w:rFonts w:ascii="Arial" w:cs="Arial" w:eastAsia="Arial" w:hAnsi="Arial"/>
                <w:sz w:val="18"/>
                <w:szCs w:val="18"/>
                <w:color w:val="auto"/>
              </w:rPr>
              <w:t>0.25</w:t>
            </w:r>
          </w:p>
        </w:tc>
        <w:tc>
          <w:tcPr>
            <w:tcW w:w="200" w:type="dxa"/>
            <w:vAlign w:val="bottom"/>
            <w:vMerge w:val="restart"/>
          </w:tcPr>
          <w:p>
            <w:pPr>
              <w:jc w:val="right"/>
              <w:spacing w:after="0" w:line="162" w:lineRule="exact"/>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ind w:right="192"/>
              <w:spacing w:after="0" w:line="162" w:lineRule="exact"/>
              <w:rPr>
                <w:sz w:val="20"/>
                <w:szCs w:val="20"/>
                <w:color w:val="auto"/>
              </w:rPr>
            </w:pPr>
            <w:r>
              <w:rPr>
                <w:rFonts w:ascii="Arial" w:cs="Arial" w:eastAsia="Arial" w:hAnsi="Arial"/>
                <w:sz w:val="18"/>
                <w:szCs w:val="18"/>
                <w:color w:val="auto"/>
              </w:rPr>
              <w:t>0.19</w:t>
            </w:r>
          </w:p>
        </w:tc>
        <w:tc>
          <w:tcPr>
            <w:tcW w:w="200" w:type="dxa"/>
            <w:vAlign w:val="bottom"/>
            <w:gridSpan w:val="2"/>
            <w:vMerge w:val="restart"/>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20"/>
              <w:spacing w:after="0" w:line="162" w:lineRule="exact"/>
              <w:rPr>
                <w:sz w:val="20"/>
                <w:szCs w:val="20"/>
                <w:color w:val="auto"/>
              </w:rPr>
            </w:pPr>
            <w:r>
              <w:rPr>
                <w:rFonts w:ascii="Arial" w:cs="Arial" w:eastAsia="Arial" w:hAnsi="Arial"/>
                <w:sz w:val="18"/>
                <w:szCs w:val="18"/>
                <w:color w:val="auto"/>
              </w:rPr>
              <w:t>0.06</w:t>
            </w:r>
          </w:p>
        </w:tc>
        <w:tc>
          <w:tcPr>
            <w:tcW w:w="1340" w:type="dxa"/>
            <w:vAlign w:val="bottom"/>
            <w:gridSpan w:val="2"/>
            <w:vMerge w:val="restart"/>
          </w:tcPr>
          <w:p>
            <w:pPr>
              <w:jc w:val="right"/>
              <w:ind w:right="20"/>
              <w:spacing w:after="0" w:line="16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4220" w:type="dxa"/>
            <w:vAlign w:val="bottom"/>
            <w:gridSpan w:val="2"/>
          </w:tcPr>
          <w:p>
            <w:pPr>
              <w:spacing w:after="0" w:line="27" w:lineRule="exact"/>
              <w:rPr>
                <w:sz w:val="20"/>
                <w:szCs w:val="20"/>
                <w:color w:val="auto"/>
              </w:rPr>
            </w:pPr>
            <w:r>
              <w:rPr>
                <w:rFonts w:ascii="Arial" w:cs="Arial" w:eastAsia="Arial" w:hAnsi="Arial"/>
                <w:sz w:val="3"/>
                <w:szCs w:val="3"/>
                <w:color w:val="auto"/>
              </w:rPr>
              <w:t>Diluted earnings per share</w:t>
            </w:r>
          </w:p>
        </w:tc>
        <w:tc>
          <w:tcPr>
            <w:tcW w:w="740" w:type="dxa"/>
            <w:vAlign w:val="bottom"/>
            <w:gridSpan w:val="2"/>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7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jc w:val="right"/>
              <w:spacing w:after="0" w:line="95" w:lineRule="exact"/>
              <w:rPr>
                <w:sz w:val="20"/>
                <w:szCs w:val="20"/>
                <w:color w:val="auto"/>
              </w:rPr>
            </w:pPr>
            <w:r>
              <w:rPr>
                <w:rFonts w:ascii="Arial" w:cs="Arial" w:eastAsia="Arial" w:hAnsi="Arial"/>
                <w:sz w:val="10"/>
                <w:szCs w:val="10"/>
                <w:color w:val="auto"/>
              </w:rPr>
              <w:t>(a)</w:t>
            </w: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jc w:val="right"/>
              <w:ind w:right="12"/>
              <w:spacing w:after="0" w:line="95" w:lineRule="exact"/>
              <w:rPr>
                <w:sz w:val="20"/>
                <w:szCs w:val="20"/>
                <w:color w:val="auto"/>
              </w:rPr>
            </w:pPr>
            <w:r>
              <w:rPr>
                <w:rFonts w:ascii="Arial" w:cs="Arial" w:eastAsia="Arial" w:hAnsi="Arial"/>
                <w:sz w:val="10"/>
                <w:szCs w:val="10"/>
                <w:color w:val="auto"/>
              </w:rPr>
              <w:t>(b)</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780" w:type="dxa"/>
            <w:vAlign w:val="bottom"/>
          </w:tcPr>
          <w:p>
            <w:pPr>
              <w:ind w:left="180"/>
              <w:spacing w:after="0" w:line="256" w:lineRule="exact"/>
              <w:rPr>
                <w:sz w:val="20"/>
                <w:szCs w:val="20"/>
                <w:color w:val="auto"/>
              </w:rPr>
            </w:pPr>
            <w:r>
              <w:rPr>
                <w:rFonts w:ascii="Arial" w:cs="Arial" w:eastAsia="Arial" w:hAnsi="Arial"/>
                <w:sz w:val="18"/>
                <w:szCs w:val="18"/>
                <w:color w:val="auto"/>
                <w:w w:val="96"/>
              </w:rPr>
              <w:t>Adjusted EBITDA</w:t>
            </w:r>
            <w:r>
              <w:rPr>
                <w:rFonts w:ascii="Arial" w:cs="Arial" w:eastAsia="Arial" w:hAnsi="Arial"/>
                <w:sz w:val="29"/>
                <w:szCs w:val="29"/>
                <w:color w:val="auto"/>
                <w:w w:val="96"/>
                <w:vertAlign w:val="superscript"/>
              </w:rPr>
              <w:t>(2)</w:t>
            </w:r>
          </w:p>
        </w:tc>
        <w:tc>
          <w:tcPr>
            <w:tcW w:w="2440" w:type="dxa"/>
            <w:vAlign w:val="bottom"/>
          </w:tcPr>
          <w:p>
            <w:pPr>
              <w:spacing w:after="0"/>
              <w:rPr>
                <w:sz w:val="22"/>
                <w:szCs w:val="22"/>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119,650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80,347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39,303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(2)</w:t>
            </w: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+799bps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780" w:type="dxa"/>
            <w:vAlign w:val="bottom"/>
          </w:tcPr>
          <w:p>
            <w:pPr>
              <w:ind w:left="180"/>
              <w:spacing w:after="0" w:line="256" w:lineRule="exact"/>
              <w:rPr>
                <w:sz w:val="20"/>
                <w:szCs w:val="20"/>
                <w:color w:val="auto"/>
              </w:rPr>
            </w:pPr>
            <w:r>
              <w:rPr>
                <w:rFonts w:ascii="Arial" w:cs="Arial" w:eastAsia="Arial" w:hAnsi="Arial"/>
                <w:sz w:val="18"/>
                <w:szCs w:val="18"/>
                <w:color w:val="auto"/>
              </w:rPr>
              <w:t>Adjusted EBIT</w:t>
            </w:r>
            <w:r>
              <w:rPr>
                <w:rFonts w:ascii="Arial" w:cs="Arial" w:eastAsia="Arial" w:hAnsi="Arial"/>
                <w:sz w:val="29"/>
                <w:szCs w:val="29"/>
                <w:color w:val="auto"/>
                <w:vertAlign w:val="superscript"/>
              </w:rPr>
              <w:t>(2)</w:t>
            </w:r>
          </w:p>
        </w:tc>
        <w:tc>
          <w:tcPr>
            <w:tcW w:w="2440" w:type="dxa"/>
            <w:vAlign w:val="bottom"/>
          </w:tcPr>
          <w:p>
            <w:pPr>
              <w:spacing w:after="0"/>
              <w:rPr>
                <w:sz w:val="22"/>
                <w:szCs w:val="22"/>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108,747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70,053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38,694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56"/>
        </w:trPr>
        <w:tc>
          <w:tcPr>
            <w:tcW w:w="42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9"/>
                <w:szCs w:val="29"/>
                <w:color w:val="auto"/>
                <w:vertAlign w:val="superscript"/>
              </w:rPr>
              <w:t>(2)</w:t>
            </w: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37.5%</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+885bps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9"/>
                <w:szCs w:val="29"/>
                <w:color w:val="auto"/>
                <w:vertAlign w:val="superscript"/>
              </w:rPr>
              <w:t>(2)</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85,368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92"/>
              <w:spacing w:after="0"/>
              <w:rPr>
                <w:sz w:val="20"/>
                <w:szCs w:val="20"/>
                <w:color w:val="auto"/>
              </w:rPr>
            </w:pPr>
            <w:r>
              <w:rPr>
                <w:rFonts w:ascii="Arial" w:cs="Arial" w:eastAsia="Arial" w:hAnsi="Arial"/>
                <w:sz w:val="18"/>
                <w:szCs w:val="18"/>
                <w:color w:val="auto"/>
              </w:rPr>
              <w:t>52,190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33,178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1"/>
              </w:rPr>
              <w:t>Adjusted Diluted EPS</w:t>
            </w:r>
          </w:p>
        </w:tc>
        <w:tc>
          <w:tcPr>
            <w:tcW w:w="2440" w:type="dxa"/>
            <w:vAlign w:val="bottom"/>
            <w:shd w:val="clear" w:color="auto" w:fill="CCEEFF"/>
          </w:tcPr>
          <w:p>
            <w:pPr>
              <w:jc w:val="right"/>
              <w:ind w:right="1825"/>
              <w:spacing w:after="0" w:line="162" w:lineRule="exact"/>
              <w:rPr>
                <w:sz w:val="20"/>
                <w:szCs w:val="20"/>
                <w:color w:val="auto"/>
              </w:rPr>
            </w:pPr>
            <w:r>
              <w:rPr>
                <w:rFonts w:ascii="Arial" w:cs="Arial" w:eastAsia="Arial" w:hAnsi="Arial"/>
                <w:sz w:val="15"/>
                <w:szCs w:val="15"/>
                <w:color w:val="auto"/>
                <w:w w:val="94"/>
              </w:rPr>
              <w:t>(1)(2)(3)</w:t>
            </w:r>
          </w:p>
        </w:tc>
        <w:tc>
          <w:tcPr>
            <w:tcW w:w="740" w:type="dxa"/>
            <w:vAlign w:val="bottom"/>
            <w:gridSpan w:val="2"/>
            <w:shd w:val="clear" w:color="auto" w:fill="CCEEFF"/>
          </w:tcPr>
          <w:p>
            <w:pPr>
              <w:ind w:left="600"/>
              <w:spacing w:after="0" w:line="16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4"/>
              <w:spacing w:after="0" w:line="162" w:lineRule="exact"/>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92"/>
              <w:spacing w:after="0" w:line="162" w:lineRule="exact"/>
              <w:rPr>
                <w:sz w:val="20"/>
                <w:szCs w:val="20"/>
                <w:color w:val="auto"/>
              </w:rPr>
            </w:pPr>
            <w:r>
              <w:rPr>
                <w:rFonts w:ascii="Arial" w:cs="Arial" w:eastAsia="Arial" w:hAnsi="Arial"/>
                <w:sz w:val="18"/>
                <w:szCs w:val="18"/>
                <w:color w:val="auto"/>
              </w:rPr>
              <w:t>0.23</w:t>
            </w:r>
          </w:p>
        </w:tc>
        <w:tc>
          <w:tcPr>
            <w:tcW w:w="2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0.14</w:t>
            </w:r>
          </w:p>
        </w:tc>
        <w:tc>
          <w:tcPr>
            <w:tcW w:w="13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94"/>
        </w:trPr>
        <w:tc>
          <w:tcPr>
            <w:tcW w:w="178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6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w:t>
            </w: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2"/>
              <w:spacing w:after="0" w:line="95" w:lineRule="exact"/>
              <w:rPr>
                <w:sz w:val="20"/>
                <w:szCs w:val="20"/>
                <w:color w:val="auto"/>
              </w:rPr>
            </w:pPr>
            <w:r>
              <w:rPr>
                <w:rFonts w:ascii="Arial" w:cs="Arial" w:eastAsia="Arial" w:hAnsi="Arial"/>
                <w:sz w:val="10"/>
                <w:szCs w:val="10"/>
                <w:color w:val="auto"/>
              </w:rPr>
              <w:t>(b)</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5"/>
        </w:trPr>
        <w:tc>
          <w:tcPr>
            <w:tcW w:w="1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 w:name="page2"/>
    <w:bookmarkEnd w:id="1"/>
    <w:p>
      <w:pPr>
        <w:ind w:left="340" w:right="320" w:hanging="332"/>
        <w:spacing w:after="0" w:line="25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result of the Reorganization Transactions and the IPO completed in April 2019, certain earnings information is being presented separately for Tradeweb Markets LLC and Tradeweb Markets Inc.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9" w:lineRule="exact"/>
        <w:rPr>
          <w:sz w:val="20"/>
          <w:szCs w:val="20"/>
          <w:color w:val="auto"/>
        </w:rPr>
      </w:pPr>
    </w:p>
    <w:p>
      <w:pPr>
        <w:ind w:left="340" w:right="280"/>
        <w:spacing w:after="0" w:line="250" w:lineRule="auto"/>
        <w:rPr>
          <w:sz w:val="20"/>
          <w:szCs w:val="20"/>
          <w:color w:val="auto"/>
        </w:rPr>
      </w:pPr>
      <w:r>
        <w:rPr>
          <w:rFonts w:ascii="Arial" w:cs="Arial" w:eastAsia="Arial" w:hAnsi="Arial"/>
          <w:sz w:val="18"/>
          <w:szCs w:val="18"/>
          <w:color w:val="auto"/>
        </w:rPr>
        <w:t>See “Basis of Presentation” in Appendix A attached hereto and “Note 18 — Earnings Per Share” to the audited consolidated financial statements of Tradeweb Markets Inc. appearing in our Annual Report on Form 10-K, as amended (“the 2019 Form 10-K”).</w:t>
      </w:r>
    </w:p>
    <w:p>
      <w:pPr>
        <w:spacing w:after="0" w:line="1" w:lineRule="exact"/>
        <w:rPr>
          <w:sz w:val="20"/>
          <w:szCs w:val="20"/>
          <w:color w:val="auto"/>
        </w:rPr>
      </w:pPr>
    </w:p>
    <w:p>
      <w:pPr>
        <w:ind w:left="340" w:right="1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definitions of Adjusted EBITDA, Adjusted EBITDA margin, Adjusted EBIT, Adjusted EBIT margin, Adjusted Net Income and Adjusted Diluted EPS and for reconciliations to their most directly comparable financial measures presented in accordance with GAAP, see the tables included in Appendix A attached hereto.</w:t>
      </w:r>
    </w:p>
    <w:p>
      <w:pPr>
        <w:spacing w:after="0" w:line="1"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Diluted EPS includes certain tax related adjustments to reflect an assumed effective tax rate for all periods presented and, for the three months ended March 31, 2020, assumes all LLC Interests are exchanged for shares of Class A or Class B common stock. As a result, management believes that Adjusted Diluted EPS for Tradeweb Markets Inc. and Tradeweb Markets LLC are comparable.</w:t>
      </w:r>
    </w:p>
    <w:p>
      <w:pPr>
        <w:spacing w:after="0" w:line="385" w:lineRule="exact"/>
        <w:rPr>
          <w:sz w:val="20"/>
          <w:szCs w:val="20"/>
          <w:color w:val="auto"/>
        </w:rPr>
      </w:pPr>
    </w:p>
    <w:p>
      <w:pPr>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 copy of the preliminary prospectus is available at </w:t>
      </w:r>
      <w:hyperlink r:id="rId9">
        <w:r>
          <w:rPr>
            <w:rFonts w:ascii="Arial" w:cs="Arial" w:eastAsia="Arial" w:hAnsi="Arial"/>
            <w:sz w:val="16"/>
            <w:szCs w:val="16"/>
            <w:b w:val="1"/>
            <w:bCs w:val="1"/>
            <w:u w:val="single" w:color="auto"/>
            <w:color w:val="0000EE"/>
          </w:rPr>
          <w:t>https://www.sec.gov/Archives/edgar/data/1758730/000110465920048747/tv539139-s1.htm</w:t>
        </w:r>
      </w:hyperlink>
      <w:r>
        <w:rPr>
          <w:rFonts w:ascii="Arial" w:cs="Arial" w:eastAsia="Arial" w:hAnsi="Arial"/>
          <w:sz w:val="16"/>
          <w:szCs w:val="16"/>
          <w:b w:val="1"/>
          <w:bCs w:val="1"/>
          <w:color w:val="auto"/>
        </w:rPr>
        <w:t>.</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Alternatively, copies of the preliminary prospectus may be obtained from: J.P. Morgan Securities LLC, c/o Broadridge Financial Solutions, 1155 Long Island Avenue, Edgewood, New York 11717, by email at prospectus-eq_fi@jpmchase.com or toll-free at (866) 803-9204; Barclays Capital Inc., Attention Barclays Capital Inc. c/o Broadridge Financial Solutions, 1155 Long Island Avenue, Edgewood, NY 11717, by email at barclaysprospectus@broadridge.com, or by telephone at (888) 603-5847; Citigroup Global Markets Inc., Attention: Prospectus Department, c/o Broadridge Financial Solutions, 1155 Long Island Avenue, Edgewood, New York 11717, or by telephone at (800) 831-9146; Goldman Sachs &amp; Co. LLC, Attention: Prospectus Department, 200 West Street, New York, New York 10282, by email at prospectus-ny@ny.email.gs.com or by telephone at (866) 471-2526; or Morgan Stanley &amp; Co. LLC, Attention: Prospectus Department, 180 Varick Street, Second Floor, New York, New York 10014.</w:t>
      </w:r>
    </w:p>
    <w:p>
      <w:pPr>
        <w:spacing w:after="0" w:line="19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These securities may not be sold nor may offers to buy be accepted prior to the time the registration statement becomes effective. This news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This release contains forward-looking statements within the meaning of the federal securities laws. Statements related to, among other things, the proposed offering and plans regarding the use of proceeds therefrom, our outlook and future performance, the industry and markets in which we operate, our expectations, beliefs, plans, strategies, objectives, prospects and assumptions and future events are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In particular, the preliminary financial results for the first quarter of 2020 are subject to the completion of management’s final review and our other financial closing procedures and therefore are subject to change.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$780 billion in notional value traded per day over the past four fiscal quarters.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13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Ashley Serrao, Tradeweb + 1 646 430 6027</w:t>
            </w:r>
          </w:p>
        </w:tc>
        <w:tc>
          <w:tcPr>
            <w:tcW w:w="13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Daniel Noonan, Tradeweb +1 646 767 4677</w:t>
            </w:r>
          </w:p>
        </w:tc>
      </w:tr>
      <w:tr>
        <w:trPr>
          <w:trHeight w:val="190"/>
        </w:trPr>
        <w:tc>
          <w:tcPr>
            <w:tcW w:w="226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9"/>
              </w:rPr>
              <w:t>Ashley.Serrao@Tradeweb.com</w:t>
            </w:r>
          </w:p>
        </w:tc>
        <w:tc>
          <w:tcPr>
            <w:tcW w:w="2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0"/>
              </w:rPr>
              <w:t>Daniel.Noonan@Tradeweb.com</w:t>
            </w:r>
          </w:p>
        </w:tc>
        <w:tc>
          <w:tcPr>
            <w:tcW w:w="3280" w:type="dxa"/>
            <w:vAlign w:val="bottom"/>
          </w:tcPr>
          <w:p>
            <w:pPr>
              <w:spacing w:after="0"/>
              <w:rPr>
                <w:sz w:val="16"/>
                <w:szCs w:val="16"/>
                <w:color w:val="auto"/>
              </w:rPr>
            </w:pPr>
          </w:p>
        </w:tc>
      </w:tr>
      <w:tr>
        <w:trPr>
          <w:trHeight w:val="45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60" w:type="dxa"/>
            <w:vAlign w:val="bottom"/>
            <w:gridSpan w:val="2"/>
          </w:tcPr>
          <w:p>
            <w:pPr>
              <w:jc w:val="right"/>
              <w:ind w:right="2070"/>
              <w:spacing w:after="0"/>
              <w:rPr>
                <w:sz w:val="20"/>
                <w:szCs w:val="20"/>
                <w:color w:val="auto"/>
              </w:rPr>
            </w:pPr>
            <w:r>
              <w:rPr>
                <w:rFonts w:ascii="Arial" w:cs="Arial" w:eastAsia="Arial" w:hAnsi="Arial"/>
                <w:sz w:val="18"/>
                <w:szCs w:val="18"/>
                <w:color w:val="auto"/>
              </w:rPr>
              <w:t># # #</w:t>
            </w:r>
          </w:p>
        </w:tc>
        <w:tc>
          <w:tcPr>
            <w:tcW w:w="3280" w:type="dxa"/>
            <w:vAlign w:val="bottom"/>
          </w:tcPr>
          <w:p>
            <w:pPr>
              <w:spacing w:after="0"/>
              <w:rPr>
                <w:sz w:val="24"/>
                <w:szCs w:val="24"/>
                <w:color w:val="auto"/>
              </w:rPr>
            </w:pPr>
          </w:p>
        </w:tc>
      </w:tr>
      <w:tr>
        <w:trPr>
          <w:trHeight w:val="459"/>
        </w:trPr>
        <w:tc>
          <w:tcPr>
            <w:tcW w:w="2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firstLine="360"/>
        <w:spacing w:after="0" w:line="275" w:lineRule="auto"/>
        <w:rPr>
          <w:sz w:val="20"/>
          <w:szCs w:val="20"/>
          <w:color w:val="auto"/>
        </w:rPr>
      </w:pPr>
      <w:r>
        <w:rPr>
          <w:rFonts w:ascii="Arial" w:cs="Arial" w:eastAsia="Arial" w:hAnsi="Arial"/>
          <w:sz w:val="17"/>
          <w:szCs w:val="17"/>
          <w:color w:val="auto"/>
        </w:rPr>
        <w:t>“We,” “us,” “our,” the “Company,” “Tradeweb” and similar references refer: (i) on or prior to the completion of a series of reorganization transactions that were completed (the “Reorganization Transactions”) in connection with Tradeweb Markets Inc.’s initial public offering (“IPO”), which was completed on April 8, 2019,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6" w:lineRule="exact"/>
        <w:rPr>
          <w:sz w:val="20"/>
          <w:szCs w:val="20"/>
          <w:color w:val="auto"/>
        </w:rPr>
      </w:pPr>
    </w:p>
    <w:p>
      <w:pPr>
        <w:ind w:right="140" w:firstLine="360"/>
        <w:spacing w:after="0" w:line="296" w:lineRule="auto"/>
        <w:rPr>
          <w:sz w:val="20"/>
          <w:szCs w:val="20"/>
          <w:color w:val="auto"/>
        </w:rPr>
      </w:pPr>
      <w:r>
        <w:rPr>
          <w:rFonts w:ascii="Arial" w:cs="Arial" w:eastAsia="Arial" w:hAnsi="Arial"/>
          <w:sz w:val="16"/>
          <w:szCs w:val="16"/>
          <w:color w:val="auto"/>
        </w:rPr>
        <w:t>“Refinitiv” refers to Refinitiv Holdings Limited, which owns an indirect majority ownership interest in Tradeweb, and is controlled by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“Refinitiv Transaction” refers to the transaction pursuant to which Refinitiv indirectly acquired on October 1, 2018 substantially all of the financial and risk business of Thomson Reuters Corporation (“Thomson Reuters”) and Thomson Reuters indirectly acquired a 45% ownership interest in Refinitiv.</w:t>
      </w:r>
    </w:p>
    <w:p>
      <w:pPr>
        <w:spacing w:after="0" w:line="16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historical financial information and other disclosures contained herein relate to periods that ended both prior to and after the completion of the Reorganization Transactions and the IPO. As a result of the Reorganization Transactions completed in connection with the IPO, on April 4, 2019, Tradeweb Markets Inc. became a holding company whose principal asset consists of its equity interest in Tradeweb Markets LLC (“TWM LLC”).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herein relating to periods prior to, and including, March 31, 2019 pertain to TWM LLC, the predecessor of Tradeweb Markets Inc. for financial reporting purposes, and its subsidiaries. The historical financial information contained herein relating to periods beginning on April 1, 2019, and through and including March 31, 2020, pertain to Tradeweb Markets Inc. and its subsidiaries, including TWM LLC.</w:t>
      </w:r>
    </w:p>
    <w:p>
      <w:pPr>
        <w:spacing w:after="0" w:line="181" w:lineRule="exact"/>
        <w:rPr>
          <w:sz w:val="20"/>
          <w:szCs w:val="20"/>
          <w:color w:val="auto"/>
        </w:rPr>
      </w:pPr>
    </w:p>
    <w:p>
      <w:pPr>
        <w:jc w:val="both"/>
        <w:ind w:right="60" w:firstLine="360"/>
        <w:spacing w:after="0" w:line="311" w:lineRule="auto"/>
        <w:rPr>
          <w:sz w:val="20"/>
          <w:szCs w:val="20"/>
          <w:color w:val="auto"/>
        </w:rPr>
      </w:pPr>
      <w:r>
        <w:rPr>
          <w:rFonts w:ascii="Arial" w:cs="Arial" w:eastAsia="Arial" w:hAnsi="Arial"/>
          <w:sz w:val="16"/>
          <w:szCs w:val="16"/>
          <w:color w:val="auto"/>
        </w:rPr>
        <w:t>Unless otherwise indicated, revenue is presented on a gross revenue basis. For certain periods, our gross revenue is offset by contingent consideration, a contra-revenue adjustment related to the achievement of specific revenue earnout milestones for certain credit products. We believe that gross revenue is the key driver of our operating performance and therefore is the revenue measure we utilize to assess our business on a period by period basis.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 Adjusted EBITDA is defined as net income before contingent consideration,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w:t>
      </w:r>
    </w:p>
    <w:p>
      <w:pPr>
        <w:spacing w:after="0" w:line="185"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We also exclude non-cash stock-based compensation expense associated with options awarded to management and other employees prior to the IPO (the “Special Option Award”)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because we believe it is useful to exclude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which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firstLine="360"/>
        <w:spacing w:after="0" w:line="253" w:lineRule="auto"/>
        <w:rPr>
          <w:sz w:val="20"/>
          <w:szCs w:val="20"/>
          <w:color w:val="auto"/>
        </w:rPr>
      </w:pPr>
      <w:r>
        <w:rPr>
          <w:rFonts w:ascii="Arial" w:cs="Arial" w:eastAsia="Arial" w:hAnsi="Arial"/>
          <w:sz w:val="18"/>
          <w:szCs w:val="18"/>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 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common membership units of TWM LLC (“LLC Interests”) held by non-controlling interests are exchanged for shares of Class A or Class B common stock, we believe that Adjusted Net Income and Adjusted Diluted EPS for Tradeweb Markets Inc. and Tradeweb Markets LLC are comparable.</w:t>
      </w:r>
    </w:p>
    <w:p>
      <w:pPr>
        <w:spacing w:after="0" w:line="196"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and payroll taxes associated with certain option exercises, tax receivable liability adjustments, acquisition and Refinitiv Transaction-related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 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ind w:right="140" w:firstLine="360"/>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8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months ended March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Three Months</w:t>
            </w:r>
          </w:p>
        </w:tc>
        <w:tc>
          <w:tcPr>
            <w:tcW w:w="6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Three Months</w:t>
            </w:r>
          </w:p>
        </w:tc>
        <w:tc>
          <w:tcPr>
            <w:tcW w:w="0" w:type="dxa"/>
            <w:vAlign w:val="bottom"/>
          </w:tcPr>
          <w:p>
            <w:pPr>
              <w:spacing w:after="0"/>
              <w:rPr>
                <w:sz w:val="1"/>
                <w:szCs w:val="1"/>
                <w:color w:val="auto"/>
              </w:rPr>
            </w:pPr>
          </w:p>
        </w:tc>
      </w:tr>
      <w:tr>
        <w:trPr>
          <w:trHeight w:val="229"/>
        </w:trPr>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March 31, 2020</w:t>
            </w:r>
          </w:p>
        </w:tc>
        <w:tc>
          <w:tcPr>
            <w:tcW w:w="6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62,485</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42,352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37,176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33,503</w:t>
            </w:r>
          </w:p>
        </w:tc>
        <w:tc>
          <w:tcPr>
            <w:tcW w:w="0" w:type="dxa"/>
            <w:vAlign w:val="bottom"/>
          </w:tcPr>
          <w:p>
            <w:pPr>
              <w:spacing w:after="0"/>
              <w:rPr>
                <w:sz w:val="1"/>
                <w:szCs w:val="1"/>
                <w:color w:val="auto"/>
              </w:rPr>
            </w:pPr>
          </w:p>
        </w:tc>
      </w:tr>
      <w:tr>
        <w:trPr>
          <w:trHeight w:val="257"/>
        </w:trPr>
        <w:tc>
          <w:tcPr>
            <w:tcW w:w="8360" w:type="dxa"/>
            <w:vAlign w:val="bottom"/>
          </w:tcPr>
          <w:p>
            <w:pPr>
              <w:spacing w:after="0" w:line="25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3,497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15,829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Unrealized foreign exchange (gains) / losses</w:t>
            </w:r>
          </w:p>
        </w:tc>
        <w:tc>
          <w:tcPr>
            <w:tcW w:w="22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119,650</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80,347</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Depreciation and amortization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(37,176)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line="270" w:lineRule="exact"/>
              <w:rPr>
                <w:sz w:val="20"/>
                <w:szCs w:val="20"/>
                <w:color w:val="auto"/>
              </w:rPr>
            </w:pPr>
            <w:r>
              <w:rPr>
                <w:rFonts w:ascii="Arial" w:cs="Arial" w:eastAsia="Arial" w:hAnsi="Arial"/>
                <w:sz w:val="18"/>
                <w:szCs w:val="18"/>
                <w:color w:val="auto"/>
              </w:rPr>
              <w:t>Add: Acquisition and Refinitiv Transaction related D&amp;A</w:t>
            </w:r>
            <w:r>
              <w:rPr>
                <w:rFonts w:ascii="Arial" w:cs="Arial" w:eastAsia="Arial" w:hAnsi="Arial"/>
                <w:sz w:val="29"/>
                <w:szCs w:val="29"/>
                <w:color w:val="auto"/>
                <w:vertAlign w:val="superscript"/>
              </w:rPr>
              <w:t>(3)</w:t>
            </w:r>
          </w:p>
        </w:tc>
        <w:tc>
          <w:tcPr>
            <w:tcW w:w="220" w:type="dxa"/>
            <w:vAlign w:val="bottom"/>
          </w:tcPr>
          <w:p>
            <w:pPr>
              <w:spacing w:after="0"/>
              <w:rPr>
                <w:sz w:val="23"/>
                <w:szCs w:val="23"/>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26,273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27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(4)</w:t>
            </w: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60" w:type="dxa"/>
            <w:vAlign w:val="bottom"/>
            <w:tcBorders>
              <w:bottom w:val="single" w:sz="8" w:color="CCEEFF"/>
            </w:tcBorders>
            <w:vMerge w:val="continue"/>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Adjusted EBIT margin</w:t>
            </w:r>
            <w:r>
              <w:rPr>
                <w:rFonts w:ascii="Arial" w:cs="Arial" w:eastAsia="Arial" w:hAnsi="Arial"/>
                <w:sz w:val="25"/>
                <w:szCs w:val="25"/>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and post-IPO options awarded in 2019 and payroll taxes associated with exercises of such options during the applicable period.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foreign exchange gain or loss from the revaluation of cash denominated in a different currency than the entity’s functional currency.</w:t>
      </w:r>
    </w:p>
    <w:p>
      <w:pPr>
        <w:spacing w:after="0" w:line="32"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months ended March 31, 2020 and 2019, Adjusted EBITDA margin increased compared to the prior year period by 799 basis points, or 678 basis points on a constant currency basis. For the three months ended March 31, 2020 and 2019, Adjusted EBIT margin increased compared to the prior year period by 885 basis points, or 767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80" w:firstLine="36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months ended March 31, 2020 and 2019:</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Earnings per diluted share</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6"/>
          <w:szCs w:val="16"/>
          <w:color w:val="auto"/>
        </w:rPr>
        <w:t>Pre-IPO net income attributable to Tradeweb Markets LLC</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Net income attributable to Tradeweb Markets Inc.</w:t>
      </w:r>
      <w:r>
        <w:rPr>
          <w:rFonts w:ascii="Arial" w:cs="Arial" w:eastAsia="Arial" w:hAnsi="Arial"/>
          <w:sz w:val="29"/>
          <w:szCs w:val="29"/>
          <w:color w:val="auto"/>
          <w:vertAlign w:val="superscript"/>
        </w:rPr>
        <w:t>(1)</w:t>
      </w:r>
    </w:p>
    <w:p>
      <w:pPr>
        <w:spacing w:after="0" w:line="211" w:lineRule="auto"/>
        <w:rPr>
          <w:sz w:val="20"/>
          <w:szCs w:val="20"/>
          <w:color w:val="auto"/>
        </w:rPr>
      </w:pPr>
      <w:r>
        <w:rPr>
          <w:rFonts w:ascii="Arial" w:cs="Arial" w:eastAsia="Arial" w:hAnsi="Arial"/>
          <w:sz w:val="17"/>
          <w:szCs w:val="17"/>
          <w:color w:val="auto"/>
        </w:rPr>
        <w:t xml:space="preserve">Net income attributable to non-controlling interests </w:t>
      </w:r>
      <w:r>
        <w:rPr>
          <w:rFonts w:ascii="Arial" w:cs="Arial" w:eastAsia="Arial" w:hAnsi="Arial"/>
          <w:sz w:val="28"/>
          <w:szCs w:val="28"/>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auto"/>
        <w:rPr>
          <w:sz w:val="20"/>
          <w:szCs w:val="20"/>
          <w:color w:val="auto"/>
        </w:rPr>
      </w:pPr>
      <w:r>
        <w:rPr>
          <w:rFonts w:ascii="Arial" w:cs="Arial" w:eastAsia="Arial" w:hAnsi="Arial"/>
          <w:sz w:val="18"/>
          <w:szCs w:val="18"/>
          <w:color w:val="auto"/>
        </w:rPr>
        <w:t>Acquisition and Refinitiv Transaction related D&amp;A</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Stock-based compensation expense</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Unrealized foreign exchange (gains) / losses</w:t>
      </w:r>
    </w:p>
    <w:p>
      <w:pPr>
        <w:spacing w:after="0" w:line="198" w:lineRule="auto"/>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Three Months</w:t>
            </w:r>
          </w:p>
        </w:tc>
      </w:tr>
      <w:tr>
        <w:trPr>
          <w:trHeight w:val="229"/>
        </w:trPr>
        <w:tc>
          <w:tcPr>
            <w:tcW w:w="14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9"/>
                <w:szCs w:val="19"/>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14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March 31, 2020</w:t>
            </w:r>
          </w:p>
        </w:tc>
        <w:tc>
          <w:tcPr>
            <w:tcW w:w="120" w:type="dxa"/>
            <w:vAlign w:val="bottom"/>
          </w:tcPr>
          <w:p>
            <w:pPr>
              <w:spacing w:after="0"/>
              <w:rPr>
                <w:sz w:val="20"/>
                <w:szCs w:val="20"/>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March 31, 2019</w:t>
            </w:r>
          </w:p>
        </w:tc>
      </w:tr>
      <w:tr>
        <w:trPr>
          <w:trHeight w:val="228"/>
        </w:trPr>
        <w:tc>
          <w:tcPr>
            <w:tcW w:w="34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(dollars in thousands, except per share data)</w:t>
            </w:r>
          </w:p>
        </w:tc>
        <w:tc>
          <w:tcPr>
            <w:tcW w:w="180" w:type="dxa"/>
            <w:vAlign w:val="bottom"/>
            <w:gridSpan w:val="2"/>
          </w:tcPr>
          <w:p>
            <w:pPr>
              <w:spacing w:after="0"/>
              <w:rPr>
                <w:sz w:val="19"/>
                <w:szCs w:val="19"/>
                <w:color w:val="auto"/>
              </w:rPr>
            </w:pPr>
          </w:p>
        </w:tc>
      </w:tr>
      <w:tr>
        <w:trPr>
          <w:trHeight w:val="26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line="265" w:lineRule="exact"/>
              <w:rPr>
                <w:sz w:val="20"/>
                <w:szCs w:val="20"/>
                <w:color w:val="auto"/>
              </w:rPr>
            </w:pPr>
            <w:r>
              <w:rPr>
                <w:rFonts w:ascii="Arial" w:cs="Arial" w:eastAsia="Arial" w:hAnsi="Arial"/>
                <w:sz w:val="18"/>
                <w:szCs w:val="18"/>
                <w:color w:val="auto"/>
              </w:rPr>
              <w:t>0.25</w:t>
            </w:r>
            <w:r>
              <w:rPr>
                <w:rFonts w:ascii="Arial" w:cs="Arial" w:eastAsia="Arial" w:hAnsi="Arial"/>
                <w:sz w:val="29"/>
                <w:szCs w:val="29"/>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3"/>
          </w:tcPr>
          <w:p>
            <w:pPr>
              <w:jc w:val="right"/>
              <w:spacing w:after="0" w:line="265"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(b)</w:t>
            </w:r>
          </w:p>
        </w:tc>
      </w:tr>
      <w:tr>
        <w:trPr>
          <w:trHeight w:val="20"/>
        </w:trPr>
        <w:tc>
          <w:tcPr>
            <w:tcW w:w="1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140" w:type="dxa"/>
            <w:vAlign w:val="bottom"/>
          </w:tcPr>
          <w:p>
            <w:pPr>
              <w:spacing w:after="0"/>
              <w:rPr>
                <w:sz w:val="22"/>
                <w:szCs w:val="22"/>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43,928</w:t>
            </w:r>
          </w:p>
        </w:tc>
        <w:tc>
          <w:tcPr>
            <w:tcW w:w="120" w:type="dxa"/>
            <w:vAlign w:val="bottom"/>
          </w:tcPr>
          <w:p>
            <w:pPr>
              <w:spacing w:after="0"/>
              <w:rPr>
                <w:sz w:val="22"/>
                <w:szCs w:val="22"/>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70"/>
        </w:trPr>
        <w:tc>
          <w:tcPr>
            <w:tcW w:w="140" w:type="dxa"/>
            <w:vAlign w:val="bottom"/>
          </w:tcPr>
          <w:p>
            <w:pPr>
              <w:spacing w:after="0"/>
              <w:rPr>
                <w:sz w:val="23"/>
                <w:szCs w:val="23"/>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18,557</w:t>
            </w:r>
          </w:p>
        </w:tc>
        <w:tc>
          <w:tcPr>
            <w:tcW w:w="120" w:type="dxa"/>
            <w:vAlign w:val="bottom"/>
          </w:tcPr>
          <w:p>
            <w:pPr>
              <w:spacing w:after="0"/>
              <w:rPr>
                <w:sz w:val="23"/>
                <w:szCs w:val="23"/>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195"/>
        </w:trPr>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62,485</w:t>
            </w: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42,352</w:t>
            </w:r>
          </w:p>
        </w:tc>
        <w:tc>
          <w:tcPr>
            <w:tcW w:w="160" w:type="dxa"/>
            <w:vAlign w:val="bottom"/>
          </w:tcPr>
          <w:p>
            <w:pPr>
              <w:spacing w:after="0"/>
              <w:rPr>
                <w:sz w:val="16"/>
                <w:szCs w:val="16"/>
                <w:color w:val="auto"/>
              </w:rPr>
            </w:pPr>
          </w:p>
        </w:tc>
      </w:tr>
      <w:tr>
        <w:trPr>
          <w:trHeight w:val="230"/>
        </w:trPr>
        <w:tc>
          <w:tcPr>
            <w:tcW w:w="1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15,829</w:t>
            </w:r>
          </w:p>
        </w:tc>
        <w:tc>
          <w:tcPr>
            <w:tcW w:w="12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4,783</w:t>
            </w:r>
          </w:p>
        </w:tc>
        <w:tc>
          <w:tcPr>
            <w:tcW w:w="160" w:type="dxa"/>
            <w:vAlign w:val="bottom"/>
          </w:tcPr>
          <w:p>
            <w:pPr>
              <w:spacing w:after="0"/>
              <w:rPr>
                <w:sz w:val="20"/>
                <w:szCs w:val="20"/>
                <w:color w:val="auto"/>
              </w:rPr>
            </w:pPr>
          </w:p>
        </w:tc>
      </w:tr>
      <w:tr>
        <w:trPr>
          <w:trHeight w:val="257"/>
        </w:trPr>
        <w:tc>
          <w:tcPr>
            <w:tcW w:w="140" w:type="dxa"/>
            <w:vAlign w:val="bottom"/>
          </w:tcPr>
          <w:p>
            <w:pPr>
              <w:spacing w:after="0"/>
              <w:rPr>
                <w:sz w:val="22"/>
                <w:szCs w:val="22"/>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26,273</w:t>
            </w:r>
          </w:p>
        </w:tc>
        <w:tc>
          <w:tcPr>
            <w:tcW w:w="120" w:type="dxa"/>
            <w:vAlign w:val="bottom"/>
          </w:tcPr>
          <w:p>
            <w:pPr>
              <w:spacing w:after="0"/>
              <w:rPr>
                <w:sz w:val="22"/>
                <w:szCs w:val="22"/>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23,209</w:t>
            </w:r>
          </w:p>
        </w:tc>
        <w:tc>
          <w:tcPr>
            <w:tcW w:w="160" w:type="dxa"/>
            <w:vAlign w:val="bottom"/>
          </w:tcPr>
          <w:p>
            <w:pPr>
              <w:spacing w:after="0"/>
              <w:rPr>
                <w:sz w:val="22"/>
                <w:szCs w:val="22"/>
                <w:color w:val="auto"/>
              </w:rPr>
            </w:pPr>
          </w:p>
        </w:tc>
      </w:tr>
      <w:tr>
        <w:trPr>
          <w:trHeight w:val="242"/>
        </w:trPr>
        <w:tc>
          <w:tcPr>
            <w:tcW w:w="140" w:type="dxa"/>
            <w:vAlign w:val="bottom"/>
          </w:tcPr>
          <w:p>
            <w:pPr>
              <w:spacing w:after="0"/>
              <w:rPr>
                <w:sz w:val="21"/>
                <w:szCs w:val="21"/>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r>
      <w:tr>
        <w:trPr>
          <w:trHeight w:val="230"/>
        </w:trPr>
        <w:tc>
          <w:tcPr>
            <w:tcW w:w="1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0"/>
                <w:szCs w:val="20"/>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(293)</w:t>
            </w:r>
          </w:p>
        </w:tc>
      </w:tr>
      <w:tr>
        <w:trPr>
          <w:trHeight w:val="268"/>
        </w:trPr>
        <w:tc>
          <w:tcPr>
            <w:tcW w:w="140" w:type="dxa"/>
            <w:vAlign w:val="bottom"/>
          </w:tcPr>
          <w:p>
            <w:pPr>
              <w:spacing w:after="0"/>
              <w:rPr>
                <w:sz w:val="23"/>
                <w:szCs w:val="23"/>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3"/>
                <w:szCs w:val="23"/>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23"/>
                <w:szCs w:val="23"/>
                <w:color w:val="auto"/>
              </w:rPr>
            </w:pPr>
          </w:p>
        </w:tc>
      </w:tr>
    </w:tbl>
    <w:p>
      <w:pPr>
        <w:spacing w:after="0" w:line="20" w:lineRule="exact"/>
        <w:rPr>
          <w:sz w:val="20"/>
          <w:szCs w:val="20"/>
          <w:color w:val="auto"/>
        </w:rPr>
      </w:pPr>
    </w:p>
    <w:p>
      <w:pPr>
        <w:sectPr>
          <w:pgSz w:w="11900" w:h="16838" w:orient="portrait"/>
          <w:cols w:equalWidth="0" w:num="2">
            <w:col w:w="6920" w:space="720"/>
            <w:col w:w="360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6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Adjusted Net Income before income taxes</w:t>
            </w:r>
          </w:p>
        </w:tc>
        <w:tc>
          <w:tcPr>
            <w:tcW w:w="5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line="192" w:lineRule="exact"/>
              <w:rPr>
                <w:sz w:val="20"/>
                <w:szCs w:val="20"/>
                <w:color w:val="auto"/>
              </w:rPr>
            </w:pPr>
            <w:r>
              <w:rPr>
                <w:rFonts w:ascii="Arial" w:cs="Arial" w:eastAsia="Arial" w:hAnsi="Arial"/>
                <w:sz w:val="18"/>
                <w:szCs w:val="18"/>
                <w:color w:val="auto"/>
              </w:rPr>
              <w:t>109,446</w:t>
            </w:r>
          </w:p>
        </w:tc>
        <w:tc>
          <w:tcPr>
            <w:tcW w:w="54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70,911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line="270"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9"/>
                <w:szCs w:val="29"/>
                <w:color w:val="auto"/>
                <w:vertAlign w:val="superscript"/>
              </w:rPr>
              <w:t>(6)</w:t>
            </w:r>
          </w:p>
        </w:tc>
        <w:tc>
          <w:tcPr>
            <w:tcW w:w="54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(24,078)</w:t>
            </w:r>
          </w:p>
        </w:tc>
        <w:tc>
          <w:tcPr>
            <w:tcW w:w="54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(18,721)</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line="277"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9"/>
                <w:szCs w:val="29"/>
                <w:color w:val="auto"/>
                <w:vertAlign w:val="superscript"/>
              </w:rPr>
              <w:t>(1)(7)</w:t>
            </w: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vMerge w:val="continue"/>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line="237" w:lineRule="exact"/>
              <w:rPr>
                <w:sz w:val="20"/>
                <w:szCs w:val="20"/>
                <w:color w:val="auto"/>
              </w:rPr>
            </w:pPr>
            <w:r>
              <w:rPr>
                <w:rFonts w:ascii="Arial" w:cs="Arial" w:eastAsia="Arial" w:hAnsi="Arial"/>
                <w:sz w:val="17"/>
                <w:szCs w:val="17"/>
                <w:color w:val="auto"/>
              </w:rPr>
              <w:t>0.37</w:t>
            </w:r>
            <w:r>
              <w:rPr>
                <w:rFonts w:ascii="Arial" w:cs="Arial" w:eastAsia="Arial" w:hAnsi="Arial"/>
                <w:sz w:val="27"/>
                <w:szCs w:val="27"/>
                <w:color w:val="auto"/>
                <w:vertAlign w:val="superscript"/>
              </w:rPr>
              <w:t>(a)</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line="237" w:lineRule="exact"/>
              <w:rPr>
                <w:sz w:val="20"/>
                <w:szCs w:val="20"/>
                <w:color w:val="auto"/>
              </w:rPr>
            </w:pPr>
            <w:r>
              <w:rPr>
                <w:rFonts w:ascii="Arial" w:cs="Arial" w:eastAsia="Arial" w:hAnsi="Arial"/>
                <w:sz w:val="17"/>
                <w:szCs w:val="17"/>
                <w:color w:val="auto"/>
              </w:rPr>
              <w:t>0.23</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the Reorganization Transactions and the IPO completed in April 2019, certain earnings information is being presented separately for Tradeweb Markets LLC and Tradeweb Markets Inc.</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“Basis of Presentation” above and “Note 18 — Earnings Per Share” to the audited consolidated financial statements of Tradeweb Markets Inc.</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appearing in the 2019 Form 10-K.</w:t>
      </w:r>
    </w:p>
    <w:p>
      <w:pPr>
        <w:spacing w:after="0" w:line="9" w:lineRule="exact"/>
        <w:rPr>
          <w:sz w:val="20"/>
          <w:szCs w:val="20"/>
          <w:color w:val="auto"/>
        </w:rPr>
      </w:pPr>
    </w:p>
    <w:p>
      <w:pPr>
        <w:ind w:left="660" w:right="7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660" w:right="1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 w:lineRule="exact"/>
        <w:rPr>
          <w:rFonts w:ascii="Arial" w:cs="Arial" w:eastAsia="Arial" w:hAnsi="Arial"/>
          <w:sz w:val="18"/>
          <w:szCs w:val="18"/>
          <w:color w:val="auto"/>
        </w:rPr>
      </w:pPr>
    </w:p>
    <w:p>
      <w:pPr>
        <w:ind w:left="660" w:right="20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and post-IPO options awarded in 2019 and payroll taxes associated with exercises of such options during the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 w:name="page8"/>
    <w:bookmarkEnd w:id="7"/>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foreign exchange gain or loss from the revaluation of cash denominated in a different currency than the entity’s functional currency.</w:t>
      </w:r>
    </w:p>
    <w:p>
      <w:pPr>
        <w:spacing w:after="0" w:line="46" w:lineRule="exact"/>
        <w:rPr>
          <w:rFonts w:ascii="Arial" w:cs="Arial" w:eastAsia="Arial" w:hAnsi="Arial"/>
          <w:sz w:val="16"/>
          <w:szCs w:val="16"/>
          <w:color w:val="auto"/>
        </w:rPr>
      </w:pPr>
    </w:p>
    <w:p>
      <w:pPr>
        <w:ind w:left="660" w:right="1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22.0% and 26.4% applied to Adjusted Net Income before income taxes for the three months ended March 31, 2020 and March 31, 2019, respectively.</w:t>
      </w:r>
    </w:p>
    <w:p>
      <w:pPr>
        <w:ind w:left="660" w:hanging="328"/>
        <w:spacing w:after="0" w:line="29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Due to the Reorganization Transactions and the IPO completed in April 2019, shares outstanding during the three months ended March 31, 2019 represent shares of TWM LLC (pre-IPO period) and shares outstanding during the three months ended March 31,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calculation of Adjusted Diluted EPS for the three months ended March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Post-IPO Period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Pre-IPO Period</w:t>
            </w:r>
          </w:p>
        </w:tc>
        <w:tc>
          <w:tcPr>
            <w:tcW w:w="0" w:type="dxa"/>
            <w:vAlign w:val="bottom"/>
          </w:tcPr>
          <w:p>
            <w:pPr>
              <w:spacing w:after="0"/>
              <w:rPr>
                <w:sz w:val="1"/>
                <w:szCs w:val="1"/>
                <w:color w:val="auto"/>
              </w:rPr>
            </w:pPr>
          </w:p>
        </w:tc>
      </w:tr>
      <w:tr>
        <w:trPr>
          <w:trHeight w:val="191"/>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Three Months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Three Months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Diluted Weighted Average Shares Outstanding to</w:t>
            </w:r>
          </w:p>
        </w:tc>
        <w:tc>
          <w:tcPr>
            <w:tcW w:w="1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Adjusted Diluted Weighted Average Shares Outstanding</w:t>
            </w: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March 31, 2019</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TWM LLC shares outstanding</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223,320,457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Diluted weighted average shares of Class A and Class B common stock outstanding</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174,517,244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Assumed exchange of LLC interests for shares of Class A or Class B common stock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57,644,547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diluted weighted average shares outstanding</w:t>
            </w: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232,161,791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223,320,457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Adjusted Net Income (in thousands)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85,368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52,190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Adjusted Diluted EPS</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2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2)"/>
      <w:numFmt w:val="lowerLetter"/>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9" Type="http://schemas.openxmlformats.org/officeDocument/2006/relationships/hyperlink" Target="http://www.sec.gov/Archives/edgar/data/1758730/000110465920048747/tv539139-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2020-04-20T16:22:59Z</dcterms:created>
  <dcterms:modified xsi:type="dcterms:W3CDTF">2020-04-20T16:22:59Z</dcterms:modified>
</cp:coreProperties>
</file>