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96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Olesky Lee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2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04/04/2019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1177 AVENUE OF THE AMERICAS</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Chief Executive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r>
              <w:rPr>
                <w:rFonts w:ascii="Arial" w:cs="Arial" w:eastAsia="Arial" w:hAnsi="Arial"/>
                <w:sz w:val="22"/>
                <w:szCs w:val="22"/>
                <w:color w:val="008000"/>
                <w:vertAlign w:val="superscript"/>
              </w:rPr>
              <w:t>(1)</w:t>
            </w:r>
          </w:p>
        </w:tc>
        <w:tc>
          <w:tcPr>
            <w:tcW w:w="4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398,948</w:t>
            </w:r>
          </w:p>
        </w:tc>
        <w:tc>
          <w:tcPr>
            <w:tcW w:w="92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840" w:type="dxa"/>
            <w:vAlign w:val="bottom"/>
            <w:gridSpan w:val="6"/>
          </w:tcPr>
          <w:p>
            <w:pPr>
              <w:ind w:left="2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9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960" w:type="dxa"/>
            <w:vAlign w:val="bottom"/>
            <w:vMerge w:val="continue"/>
          </w:tcPr>
          <w:p>
            <w:pPr>
              <w:spacing w:after="0"/>
              <w:rPr>
                <w:sz w:val="15"/>
                <w:szCs w:val="15"/>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D common stock</w:t>
            </w:r>
          </w:p>
        </w:tc>
        <w:tc>
          <w:tcPr>
            <w:tcW w:w="1280" w:type="dxa"/>
            <w:vAlign w:val="bottom"/>
            <w:tcBorders>
              <w:bottom w:val="single" w:sz="8" w:color="2C2C2C"/>
            </w:tcBorders>
            <w:gridSpan w:val="2"/>
          </w:tcPr>
          <w:p>
            <w:pPr>
              <w:jc w:val="center"/>
              <w:ind w:left="357"/>
              <w:spacing w:after="0"/>
              <w:rPr>
                <w:sz w:val="20"/>
                <w:szCs w:val="20"/>
                <w:color w:val="auto"/>
              </w:rPr>
            </w:pPr>
            <w:r>
              <w:rPr>
                <w:rFonts w:ascii="Arial" w:cs="Arial" w:eastAsia="Arial" w:hAnsi="Arial"/>
                <w:sz w:val="11"/>
                <w:szCs w:val="11"/>
                <w:color w:val="008000"/>
                <w:w w:val="96"/>
              </w:rPr>
              <w:t>(2)(3)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6"/>
              </w:rPr>
              <w:t>(2)(3)</w:t>
            </w:r>
          </w:p>
        </w:tc>
        <w:tc>
          <w:tcPr>
            <w:tcW w:w="19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93"/>
              </w:rPr>
              <w:t>Class C common stock</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208,487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6"/>
              </w:rPr>
              <w:t>(2)(3)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0000FF"/>
                <w:w w:val="96"/>
              </w:rPr>
              <w:t>Non-voting common units of Tradeweb</w:t>
            </w:r>
          </w:p>
        </w:tc>
        <w:tc>
          <w:tcPr>
            <w:tcW w:w="1280" w:type="dxa"/>
            <w:vAlign w:val="bottom"/>
            <w:gridSpan w:val="2"/>
            <w:vMerge w:val="restart"/>
          </w:tcPr>
          <w:p>
            <w:pPr>
              <w:jc w:val="center"/>
              <w:ind w:left="357"/>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960" w:type="dxa"/>
            <w:vAlign w:val="bottom"/>
            <w:vMerge w:val="restart"/>
          </w:tcPr>
          <w:p>
            <w:pPr>
              <w:ind w:left="200"/>
              <w:spacing w:after="0"/>
              <w:rPr>
                <w:sz w:val="20"/>
                <w:szCs w:val="20"/>
                <w:color w:val="auto"/>
              </w:rPr>
            </w:pPr>
            <w:r>
              <w:rPr>
                <w:rFonts w:ascii="Arial" w:cs="Arial" w:eastAsia="Arial" w:hAnsi="Arial"/>
                <w:sz w:val="18"/>
                <w:szCs w:val="18"/>
                <w:color w:val="0000FF"/>
                <w:w w:val="95"/>
              </w:rPr>
              <w:t>Class A common stock</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9"/>
              </w:rPr>
              <w:t>208,487</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60" w:type="dxa"/>
            <w:vAlign w:val="bottom"/>
            <w:vMerge w:val="restart"/>
          </w:tcPr>
          <w:p>
            <w:pPr>
              <w:ind w:left="60"/>
              <w:spacing w:after="0"/>
              <w:rPr>
                <w:sz w:val="20"/>
                <w:szCs w:val="20"/>
                <w:color w:val="auto"/>
              </w:rPr>
            </w:pPr>
            <w:r>
              <w:rPr>
                <w:rFonts w:ascii="Arial" w:cs="Arial" w:eastAsia="Arial" w:hAnsi="Arial"/>
                <w:sz w:val="18"/>
                <w:szCs w:val="18"/>
                <w:color w:val="0000FF"/>
              </w:rPr>
              <w:t>Markets LLC</w:t>
            </w:r>
          </w:p>
        </w:tc>
        <w:tc>
          <w:tcPr>
            <w:tcW w:w="12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0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280" w:type="dxa"/>
            <w:vAlign w:val="bottom"/>
            <w:gridSpan w:val="2"/>
          </w:tcPr>
          <w:p>
            <w:pPr>
              <w:jc w:val="center"/>
              <w:ind w:left="357"/>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10/26/2028</w:t>
            </w:r>
          </w:p>
        </w:tc>
        <w:tc>
          <w:tcPr>
            <w:tcW w:w="1960" w:type="dxa"/>
            <w:vAlign w:val="bottom"/>
          </w:tcPr>
          <w:p>
            <w:pPr>
              <w:ind w:left="200"/>
              <w:spacing w:after="0"/>
              <w:rPr>
                <w:sz w:val="20"/>
                <w:szCs w:val="20"/>
                <w:color w:val="auto"/>
              </w:rPr>
            </w:pPr>
            <w:r>
              <w:rPr>
                <w:rFonts w:ascii="Arial" w:cs="Arial" w:eastAsia="Arial" w:hAnsi="Arial"/>
                <w:sz w:val="18"/>
                <w:szCs w:val="18"/>
                <w:color w:val="0000FF"/>
                <w:w w:val="95"/>
              </w:rPr>
              <w:t>Class A common stock</w:t>
            </w:r>
          </w:p>
        </w:tc>
        <w:tc>
          <w:tcPr>
            <w:tcW w:w="920" w:type="dxa"/>
            <w:vAlign w:val="bottom"/>
          </w:tcPr>
          <w:p>
            <w:pPr>
              <w:jc w:val="center"/>
              <w:spacing w:after="0"/>
              <w:rPr>
                <w:sz w:val="20"/>
                <w:szCs w:val="20"/>
                <w:color w:val="auto"/>
              </w:rPr>
            </w:pPr>
            <w:r>
              <w:rPr>
                <w:rFonts w:ascii="Arial" w:cs="Arial" w:eastAsia="Arial" w:hAnsi="Arial"/>
                <w:sz w:val="18"/>
                <w:szCs w:val="18"/>
                <w:color w:val="0000FF"/>
                <w:w w:val="89"/>
              </w:rPr>
              <w:t>338,164</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20.59</w:t>
            </w:r>
          </w:p>
        </w:tc>
        <w:tc>
          <w:tcPr>
            <w:tcW w:w="880" w:type="dxa"/>
            <w:vAlign w:val="bottom"/>
          </w:tcPr>
          <w:p>
            <w:pPr>
              <w:jc w:val="center"/>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6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280" w:type="dxa"/>
            <w:vAlign w:val="bottom"/>
            <w:tcBorders>
              <w:top w:val="single" w:sz="8" w:color="2C2C2C"/>
            </w:tcBorders>
            <w:gridSpan w:val="2"/>
          </w:tcPr>
          <w:p>
            <w:pPr>
              <w:jc w:val="center"/>
              <w:ind w:left="357"/>
              <w:spacing w:after="0"/>
              <w:rPr>
                <w:sz w:val="20"/>
                <w:szCs w:val="20"/>
                <w:color w:val="auto"/>
              </w:rPr>
            </w:pPr>
            <w:r>
              <w:rPr>
                <w:rFonts w:ascii="Arial" w:cs="Arial" w:eastAsia="Arial" w:hAnsi="Arial"/>
                <w:sz w:val="11"/>
                <w:szCs w:val="11"/>
                <w:color w:val="008000"/>
              </w:rPr>
              <w:t>(6)</w:t>
            </w:r>
          </w:p>
        </w:tc>
        <w:tc>
          <w:tcPr>
            <w:tcW w:w="800" w:type="dxa"/>
            <w:vAlign w:val="bottom"/>
            <w:tcBorders>
              <w:top w:val="single" w:sz="8" w:color="2C2C2C"/>
            </w:tcBorders>
          </w:tcPr>
          <w:p>
            <w:pPr>
              <w:jc w:val="center"/>
              <w:spacing w:after="0"/>
              <w:rPr>
                <w:sz w:val="20"/>
                <w:szCs w:val="20"/>
                <w:color w:val="auto"/>
              </w:rPr>
            </w:pPr>
            <w:r>
              <w:rPr>
                <w:rFonts w:ascii="Arial" w:cs="Arial" w:eastAsia="Arial" w:hAnsi="Arial"/>
                <w:sz w:val="14"/>
                <w:szCs w:val="14"/>
                <w:color w:val="0000FF"/>
                <w:w w:val="88"/>
              </w:rPr>
              <w:t>10/26/2028</w:t>
            </w:r>
          </w:p>
        </w:tc>
        <w:tc>
          <w:tcPr>
            <w:tcW w:w="1960" w:type="dxa"/>
            <w:vAlign w:val="bottom"/>
            <w:tcBorders>
              <w:top w:val="single" w:sz="8" w:color="2C2C2C"/>
            </w:tcBorders>
          </w:tcPr>
          <w:p>
            <w:pPr>
              <w:ind w:left="200"/>
              <w:spacing w:after="0"/>
              <w:rPr>
                <w:sz w:val="20"/>
                <w:szCs w:val="20"/>
                <w:color w:val="auto"/>
              </w:rPr>
            </w:pPr>
            <w:r>
              <w:rPr>
                <w:rFonts w:ascii="Arial" w:cs="Arial" w:eastAsia="Arial" w:hAnsi="Arial"/>
                <w:sz w:val="18"/>
                <w:szCs w:val="18"/>
                <w:color w:val="0000FF"/>
                <w:w w:val="95"/>
              </w:rPr>
              <w:t>Class A common stock</w:t>
            </w:r>
          </w:p>
        </w:tc>
        <w:tc>
          <w:tcPr>
            <w:tcW w:w="92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w w:val="87"/>
              </w:rPr>
              <w:t>3,888,889</w:t>
            </w:r>
          </w:p>
        </w:tc>
        <w:tc>
          <w:tcPr>
            <w:tcW w:w="88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w w:val="88"/>
              </w:rPr>
              <w:t>20.59</w:t>
            </w:r>
          </w:p>
        </w:tc>
        <w:tc>
          <w:tcPr>
            <w:tcW w:w="88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24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was granted two awards of restricted stock units under the terms of the Amended and Restated Tradeweb Markets Inc. PRSU Plan consisting of (i) a grant of 191,235 restricted stock units which will vest on January 1, 2020, and (ii) a grant of 207,713 restricted stock units which will vest on January 1, 2021, each subject to the reporting person's continued employment on such date. Each grant of restricted stock units represents a contingent right to receive one share of Class A common stock of the issuer ("Class A Common Stock").</w:t>
      </w:r>
    </w:p>
    <w:p>
      <w:pPr>
        <w:spacing w:after="0" w:line="2" w:lineRule="exact"/>
        <w:rPr>
          <w:rFonts w:ascii="Arial" w:cs="Arial" w:eastAsia="Arial" w:hAnsi="Arial"/>
          <w:sz w:val="12"/>
          <w:szCs w:val="12"/>
          <w:color w:val="008000"/>
        </w:rPr>
      </w:pPr>
    </w:p>
    <w:p>
      <w:pPr>
        <w:ind w:left="40" w:right="14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of Class D common stock of the issuer ("Class D Common Stock") have ten votes per share but no economic rights (including rights to dividends or, other than their par value, any distribution upon liquidation) and are issued in an equal amount to the number of non-voting common units of Tradeweb Markets LLC, a subsidiary of the issuer ("LLC Units"), held. Shares of Class D Common Stock are exchangeable for shares of the issuer's Class C common stock ("Class C Common Stock"), which have one vote per share but no economic rights (other than their par value upon liquidation), on a one-for-one basis at the discretion of the holder. These exchange rights do not expire.</w:t>
      </w:r>
    </w:p>
    <w:p>
      <w:pPr>
        <w:spacing w:after="0" w:line="31" w:lineRule="exact"/>
        <w:rPr>
          <w:rFonts w:ascii="Arial" w:cs="Arial" w:eastAsia="Arial" w:hAnsi="Arial"/>
          <w:sz w:val="14"/>
          <w:szCs w:val="14"/>
          <w:color w:val="008000"/>
        </w:rPr>
      </w:pPr>
    </w:p>
    <w:p>
      <w:pPr>
        <w:ind w:left="40" w:right="22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Tradeweb Markets LLC, LLC Units may be exchanged for shares of Class A Common Stock or Class B common stock of the issuer, in each case, on a one-for-one basis at the discretion of the holder. Upon such an exchange, a corresponding number of shares of Class D Common Stock (or shares of Class C Common Stock, in the event the reporting person exchanged their shares of Class D Common Stock as described in footnote 2 to this Form 3) will be canceled. These exchange rights do not expire.</w:t>
      </w:r>
    </w:p>
    <w:p>
      <w:pPr>
        <w:spacing w:after="0" w:line="2" w:lineRule="exact"/>
        <w:rPr>
          <w:rFonts w:ascii="Arial" w:cs="Arial" w:eastAsia="Arial" w:hAnsi="Arial"/>
          <w:sz w:val="12"/>
          <w:szCs w:val="12"/>
          <w:color w:val="008000"/>
        </w:rPr>
      </w:pPr>
    </w:p>
    <w:p>
      <w:pPr>
        <w:ind w:left="40" w:right="10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owns 208,487 shares of Class D Common Stock and 208,487 LLC Units through The Lee Olesky 2019 Family Trust ("The Family Trust"). The reporting person and his wife, as the co-trustees of The Family Trust, share the power to vote and invest the securities, but each disclaims beneficial ownership of such securities except to the extent of his or her pecuniary interest therein.</w:t>
      </w:r>
    </w:p>
    <w:p>
      <w:pPr>
        <w:ind w:left="40" w:right="8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owns an option to purchase 338,164 shares of Class A Common Stock through The Family Trust, which option is fully vested and exercisable as of the date hereof.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owns an option to purchase 3,888,889 shares of Class A Common Stock, which is vested as to 3,043,479 of the shares subject thereto as of the date hereof. The remainder of the option will vest on January 1, 2020, subject to the reporting person's continued employment on such date.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Scott Zucker, Attorney-in-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04/04/2019</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Lee Olesky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2"/>
          <w:szCs w:val="22"/>
          <w:color w:val="auto"/>
        </w:rPr>
        <w:t>POWER OF ATTORNEY</w:t>
      </w:r>
    </w:p>
    <w:p>
      <w:pPr>
        <w:spacing w:after="0" w:line="24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Douglas Friedman, Scott Zucker and Scott Wells, and each of them, with full power of substitution, the undersigned’s true and lawful attorneys-in-fact to:</w:t>
      </w:r>
    </w:p>
    <w:p>
      <w:pPr>
        <w:spacing w:after="0" w:line="197" w:lineRule="exact"/>
        <w:rPr>
          <w:sz w:val="20"/>
          <w:szCs w:val="20"/>
          <w:color w:val="auto"/>
        </w:rPr>
      </w:pPr>
    </w:p>
    <w:p>
      <w:pPr>
        <w:ind w:left="1300" w:right="40" w:hanging="644"/>
        <w:spacing w:after="0" w:line="297"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executive officer, director and/or beneficial owner of equity securities of Tradeweb Markets Inc. (the “</w:t>
      </w:r>
      <w:r>
        <w:rPr>
          <w:rFonts w:ascii="Arial" w:cs="Arial" w:eastAsia="Arial" w:hAnsi="Arial"/>
          <w:sz w:val="16"/>
          <w:szCs w:val="16"/>
          <w:u w:val="single" w:color="auto"/>
          <w:color w:val="auto"/>
        </w:rPr>
        <w:t>Company</w:t>
      </w:r>
      <w:r>
        <w:rPr>
          <w:rFonts w:ascii="Arial" w:cs="Arial" w:eastAsia="Arial" w:hAnsi="Arial"/>
          <w:sz w:val="16"/>
          <w:szCs w:val="16"/>
          <w:color w:val="auto"/>
        </w:rPr>
        <w:t>”), (i) any forms required to be filed by the undersigned pursuant to Rule 144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(ii) Forms 3, 4, and 5 in accordance with Section 16(a) of the Exchange Act, (iii) Schedules 13D and 13G in accordance with Section 13 of the Exchange Act, and (iv) and any other forms or reports the undersigned may be required to file in connection with the undersigned’s ownership, acquisition, or disposition of securities of the Company;</w:t>
      </w:r>
    </w:p>
    <w:p>
      <w:pPr>
        <w:spacing w:after="0" w:line="104" w:lineRule="exact"/>
        <w:rPr>
          <w:rFonts w:ascii="Arial" w:cs="Arial" w:eastAsia="Arial" w:hAnsi="Arial"/>
          <w:sz w:val="16"/>
          <w:szCs w:val="16"/>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w:t>
      </w:r>
    </w:p>
    <w:p>
      <w:pPr>
        <w:spacing w:after="0" w:line="46" w:lineRule="exact"/>
        <w:rPr>
          <w:rFonts w:ascii="Arial" w:cs="Arial" w:eastAsia="Arial" w:hAnsi="Arial"/>
          <w:sz w:val="16"/>
          <w:szCs w:val="16"/>
          <w:color w:val="auto"/>
        </w:rPr>
      </w:pPr>
    </w:p>
    <w:p>
      <w:pPr>
        <w:ind w:left="1300"/>
        <w:spacing w:after="0" w:line="254" w:lineRule="auto"/>
        <w:rPr>
          <w:rFonts w:ascii="Arial" w:cs="Arial" w:eastAsia="Arial" w:hAnsi="Arial"/>
          <w:sz w:val="16"/>
          <w:szCs w:val="16"/>
          <w:color w:val="auto"/>
        </w:rPr>
      </w:pPr>
      <w:r>
        <w:rPr>
          <w:rFonts w:ascii="Arial" w:cs="Arial" w:eastAsia="Arial" w:hAnsi="Arial"/>
          <w:sz w:val="18"/>
          <w:szCs w:val="18"/>
          <w:color w:val="auto"/>
        </w:rPr>
        <w:t>(i)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135"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3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w:t>
      </w:r>
    </w:p>
    <w:p>
      <w:pPr>
        <w:spacing w:after="0" w:line="19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2019.</w:t>
      </w:r>
    </w:p>
    <w:p>
      <w:pPr>
        <w:spacing w:after="0" w:line="1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Lee Olesky</w:t>
      </w:r>
    </w:p>
    <w:sectPr>
      <w:pgSz w:w="11900" w:h="16838" w:orient="portrait"/>
      <w:cols w:equalWidth="0" w:num="1">
        <w:col w:w="11400"/>
      </w:cols>
      <w:pgMar w:left="240" w:top="84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771195" TargetMode="External"/><Relationship Id="rId12"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2019-12-24T08:19:42Z</dcterms:created>
  <dcterms:modified xsi:type="dcterms:W3CDTF">2019-12-24T08:19:42Z</dcterms:modified>
</cp:coreProperties>
</file>