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5, 2026</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500" w:type="dxa"/>
            <w:vAlign w:val="bottom"/>
          </w:tcPr>
          <w:p>
            <w:pPr>
              <w:jc w:val="center"/>
              <w:ind w:left="83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2000" w:type="dxa"/>
            <w:vAlign w:val="bottom"/>
          </w:tcPr>
          <w:p>
            <w:pPr>
              <w:spacing w:after="0"/>
              <w:rPr>
                <w:sz w:val="21"/>
                <w:szCs w:val="21"/>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10167</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February 5, 2026, Tradeweb Markets Inc. (the “Company”) issued a press release, a copy of which is furnished as Exhibit 99.1 hereto and incorporated herein by reference, announcing financial results for the quarter and full year ended December 31, 2025.</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February 5, 2026, the Board of Directors of the Company approved a share repurchase program with an indefinite term under which the Company may purchase up to $500 million of its Class A common stock (the “2026 Share Repurchase Program”) once the Company's existing $300.0 million share repurchase program (the "2022 Share Repurchase Program") has been exhausted. As of February 5, 2026, $23.2 million remained available for repurchase pursuant to the 2022 Share Repurchase Program.</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Pursuant to the 2026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(including through the use of derivatives), pursuant to Rule 10b5-1 plans or through enhanced open-market repurchases (eOMR). The 2026 Share Repurchase Program will be conducted in compliance with applicable legal requirements and shall be subject to market conditions and other factors.</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manner, timing and amount of any purchase will be based on an evaluation of market conditions, stock price and other factors. The 2026 Share Repurchase Program has no termination date, may be suspended, amended or discontinued at any time and does not obligate the Company to acquire any amount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Tradeweb Markets Inc., dated February 5, 2026.</w:t>
            </w:r>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w:t>
            </w:r>
          </w:p>
        </w:tc>
      </w:tr>
    </w:tbl>
    <w:p>
      <w:pPr>
        <w:sectPr>
          <w:pgSz w:w="11900" w:h="16838" w:orient="portrait"/>
          <w:cols w:equalWidth="0" w:num="1">
            <w:col w:w="11240"/>
          </w:cols>
          <w:pgMar w:left="320" w:top="1130" w:right="339" w:bottom="1440" w:gutter="0" w:footer="0" w:header="0"/>
        </w:sectPr>
      </w:pPr>
    </w:p>
    <w:bookmarkStart w:id="3" w:name="page4"/>
    <w:bookmarkEnd w:id="3"/>
    <w:p>
      <w:pPr>
        <w:spacing w:after="0" w:line="1" w:lineRule="exact"/>
        <w:rPr>
          <w:sz w:val="20"/>
          <w:szCs w:val="20"/>
          <w:color w:val="auto"/>
        </w:rPr>
      </w:pPr>
    </w:p>
    <w:tbl>
      <w:tblPr>
        <w:tblLayout w:type="fixed"/>
        <w:tblInd w:w="5340" w:type="dxa"/>
        <w:tblCellMar>
          <w:top w:w="0" w:type="dxa"/>
          <w:left w:w="0" w:type="dxa"/>
          <w:bottom w:w="0" w:type="dxa"/>
          <w:right w:w="0" w:type="dxa"/>
        </w:tblCellMar>
      </w:tblPr>
      <w:tr>
        <w:trPr>
          <w:trHeight w:val="189"/>
        </w:trPr>
        <w:tc>
          <w:tcPr>
            <w:tcW w:w="2580" w:type="dxa"/>
            <w:vAlign w:val="bottom"/>
          </w:tcPr>
          <w:p>
            <w:pPr>
              <w:spacing w:after="0"/>
              <w:rPr>
                <w:sz w:val="20"/>
                <w:szCs w:val="20"/>
                <w:color w:val="auto"/>
              </w:rPr>
            </w:pPr>
            <w:r>
              <w:rPr>
                <w:rFonts w:ascii="Arial" w:cs="Arial" w:eastAsia="Arial" w:hAnsi="Arial"/>
                <w:sz w:val="16"/>
                <w:szCs w:val="16"/>
                <w:b w:val="1"/>
                <w:bCs w:val="1"/>
                <w:color w:val="083566"/>
              </w:rPr>
              <w:t>Investor Relations</w:t>
            </w:r>
          </w:p>
        </w:tc>
        <w:tc>
          <w:tcPr>
            <w:tcW w:w="2580" w:type="dxa"/>
            <w:vAlign w:val="bottom"/>
            <w:vMerge w:val="restart"/>
          </w:tcPr>
          <w:p>
            <w:pPr>
              <w:ind w:left="4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95"/>
        </w:trPr>
        <w:tc>
          <w:tcPr>
            <w:tcW w:w="2580" w:type="dxa"/>
            <w:vAlign w:val="bottom"/>
            <w:vMerge w:val="restart"/>
          </w:tcPr>
          <w:p>
            <w:pPr>
              <w:spacing w:after="0"/>
              <w:rPr>
                <w:sz w:val="20"/>
                <w:szCs w:val="20"/>
                <w:color w:val="auto"/>
              </w:rPr>
            </w:pPr>
            <w:r>
              <w:rPr>
                <w:rFonts w:ascii="Arial" w:cs="Arial" w:eastAsia="Arial" w:hAnsi="Arial"/>
                <w:sz w:val="16"/>
                <w:szCs w:val="16"/>
                <w:color w:val="auto"/>
              </w:rPr>
              <w:t>Ashley Serrao + 1 646 430 6027</w:t>
            </w: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Daniel Noonan + 1 646 767 4677</w:t>
            </w:r>
          </w:p>
        </w:tc>
        <w:tc>
          <w:tcPr>
            <w:tcW w:w="0" w:type="dxa"/>
            <w:vAlign w:val="bottom"/>
          </w:tcPr>
          <w:p>
            <w:pPr>
              <w:spacing w:after="0"/>
              <w:rPr>
                <w:sz w:val="1"/>
                <w:szCs w:val="1"/>
                <w:color w:val="auto"/>
              </w:rPr>
            </w:pPr>
          </w:p>
        </w:tc>
      </w:tr>
      <w:tr>
        <w:trPr>
          <w:trHeight w:val="95"/>
        </w:trPr>
        <w:tc>
          <w:tcPr>
            <w:tcW w:w="2580" w:type="dxa"/>
            <w:vAlign w:val="bottom"/>
            <w:vMerge w:val="restart"/>
          </w:tcPr>
          <w:p>
            <w:pPr>
              <w:spacing w:after="0"/>
              <w:rPr>
                <w:sz w:val="20"/>
                <w:szCs w:val="20"/>
                <w:color w:val="auto"/>
              </w:rPr>
            </w:pPr>
            <w:r>
              <w:rPr>
                <w:rFonts w:ascii="Arial" w:cs="Arial" w:eastAsia="Arial" w:hAnsi="Arial"/>
                <w:sz w:val="16"/>
                <w:szCs w:val="16"/>
                <w:color w:val="auto"/>
              </w:rPr>
              <w:t>Ashley.Serrao@Tradeweb.com</w:t>
            </w: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80" w:type="dxa"/>
            <w:vAlign w:val="bottom"/>
            <w:vMerge w:val="continue"/>
          </w:tcPr>
          <w:p>
            <w:pPr>
              <w:spacing w:after="0"/>
              <w:rPr>
                <w:sz w:val="10"/>
                <w:szCs w:val="10"/>
                <w:color w:val="auto"/>
              </w:rPr>
            </w:pPr>
          </w:p>
        </w:tc>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r>
        <w:trPr>
          <w:trHeight w:val="95"/>
        </w:trPr>
        <w:tc>
          <w:tcPr>
            <w:tcW w:w="2580" w:type="dxa"/>
            <w:vAlign w:val="bottom"/>
            <w:vMerge w:val="restart"/>
          </w:tcPr>
          <w:p>
            <w:pPr>
              <w:spacing w:after="0"/>
              <w:rPr>
                <w:sz w:val="20"/>
                <w:szCs w:val="20"/>
                <w:color w:val="auto"/>
              </w:rPr>
            </w:pPr>
            <w:r>
              <w:rPr>
                <w:rFonts w:ascii="Arial" w:cs="Arial" w:eastAsia="Arial" w:hAnsi="Arial"/>
                <w:sz w:val="16"/>
                <w:szCs w:val="16"/>
                <w:color w:val="auto"/>
              </w:rPr>
              <w:t>Sameer Murukutla + 1 646 767</w:t>
            </w: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80" w:type="dxa"/>
            <w:vAlign w:val="bottom"/>
            <w:vMerge w:val="continue"/>
          </w:tcPr>
          <w:p>
            <w:pPr>
              <w:spacing w:after="0"/>
              <w:rPr>
                <w:sz w:val="11"/>
                <w:szCs w:val="11"/>
                <w:color w:val="auto"/>
              </w:rPr>
            </w:pPr>
          </w:p>
        </w:tc>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Savannah Steele + 1 646 767 4941</w:t>
            </w:r>
          </w:p>
        </w:tc>
        <w:tc>
          <w:tcPr>
            <w:tcW w:w="0" w:type="dxa"/>
            <w:vAlign w:val="bottom"/>
          </w:tcPr>
          <w:p>
            <w:pPr>
              <w:spacing w:after="0"/>
              <w:rPr>
                <w:sz w:val="1"/>
                <w:szCs w:val="1"/>
                <w:color w:val="auto"/>
              </w:rPr>
            </w:pPr>
          </w:p>
        </w:tc>
      </w:tr>
      <w:tr>
        <w:trPr>
          <w:trHeight w:val="94"/>
        </w:trPr>
        <w:tc>
          <w:tcPr>
            <w:tcW w:w="2580" w:type="dxa"/>
            <w:vAlign w:val="bottom"/>
            <w:vMerge w:val="restart"/>
          </w:tcPr>
          <w:p>
            <w:pPr>
              <w:spacing w:after="0"/>
              <w:rPr>
                <w:sz w:val="20"/>
                <w:szCs w:val="20"/>
                <w:color w:val="auto"/>
              </w:rPr>
            </w:pPr>
            <w:r>
              <w:rPr>
                <w:rFonts w:ascii="Arial" w:cs="Arial" w:eastAsia="Arial" w:hAnsi="Arial"/>
                <w:sz w:val="16"/>
                <w:szCs w:val="16"/>
                <w:color w:val="auto"/>
              </w:rPr>
              <w:t>4864</w:t>
            </w: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80" w:type="dxa"/>
            <w:vAlign w:val="bottom"/>
            <w:vMerge w:val="continue"/>
          </w:tcPr>
          <w:p>
            <w:pPr>
              <w:spacing w:after="0"/>
              <w:rPr>
                <w:sz w:val="8"/>
                <w:szCs w:val="8"/>
                <w:color w:val="auto"/>
              </w:rPr>
            </w:pPr>
          </w:p>
        </w:tc>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Savannah.Steele@Tradeweb.com</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Sameer.Murukutla@Tradeweb.com</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-769620</wp:posOffset>
            </wp:positionV>
            <wp:extent cx="213423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right="400"/>
        <w:spacing w:after="0" w:line="286" w:lineRule="auto"/>
        <w:rPr>
          <w:sz w:val="20"/>
          <w:szCs w:val="20"/>
          <w:color w:val="auto"/>
        </w:rPr>
      </w:pPr>
      <w:r>
        <w:rPr>
          <w:rFonts w:ascii="Arial" w:cs="Arial" w:eastAsia="Arial" w:hAnsi="Arial"/>
          <w:sz w:val="25"/>
          <w:szCs w:val="25"/>
          <w:b w:val="1"/>
          <w:bCs w:val="1"/>
          <w:color w:val="00ADCB"/>
        </w:rPr>
        <w:t xml:space="preserve">TRADEWEB REPORTS FOURTH QUARTER AND FULL YEAR 2025 FINANCIAL RESULTS </w:t>
      </w:r>
      <w:r>
        <w:rPr>
          <w:rFonts w:ascii="Arial" w:cs="Arial" w:eastAsia="Arial" w:hAnsi="Arial"/>
          <w:sz w:val="25"/>
          <w:szCs w:val="25"/>
          <w:b w:val="1"/>
          <w:bCs w:val="1"/>
          <w:color w:val="00346B"/>
        </w:rPr>
        <w:t>QUARTERLY CASH DIVIDEND RAISED BY 16.7% to $0.14 PER SHARE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346B"/>
        </w:rPr>
        <w:t>$500 MILLION SHARE REPURCHASE PROGRAM AUTHORIZED</w:t>
      </w:r>
    </w:p>
    <w:p>
      <w:pPr>
        <w:spacing w:after="0" w:line="169"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New York, February 5, 2026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fourth quarter and full year ended December 31, 2025.</w:t>
      </w:r>
    </w:p>
    <w:p>
      <w:pPr>
        <w:sectPr>
          <w:pgSz w:w="11900" w:h="16838" w:orient="portrait"/>
          <w:cols w:equalWidth="0" w:num="1">
            <w:col w:w="10980"/>
          </w:cols>
          <w:pgMar w:left="320" w:top="179" w:right="599" w:bottom="1440" w:gutter="0" w:footer="0" w:header="0"/>
        </w:sectPr>
      </w:pPr>
    </w:p>
    <w:p>
      <w:pPr>
        <w:spacing w:after="0" w:line="61" w:lineRule="exact"/>
        <w:rPr>
          <w:sz w:val="20"/>
          <w:szCs w:val="20"/>
          <w:color w:val="auto"/>
        </w:rPr>
      </w:pPr>
    </w:p>
    <w:p>
      <w:pPr>
        <w:ind w:left="20" w:right="20"/>
        <w:spacing w:after="0" w:line="286" w:lineRule="auto"/>
        <w:rPr>
          <w:sz w:val="20"/>
          <w:szCs w:val="20"/>
          <w:color w:val="auto"/>
        </w:rPr>
      </w:pPr>
      <w:r>
        <w:rPr>
          <w:rFonts w:ascii="Arial" w:cs="Arial" w:eastAsia="Arial" w:hAnsi="Arial"/>
          <w:sz w:val="16"/>
          <w:szCs w:val="16"/>
          <w:b w:val="1"/>
          <w:bCs w:val="1"/>
          <w:color w:val="auto"/>
        </w:rPr>
        <w:t xml:space="preserve">$521.2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12.5% </w:t>
      </w:r>
      <w:r>
        <w:rPr>
          <w:rFonts w:ascii="Arial" w:cs="Arial" w:eastAsia="Arial" w:hAnsi="Arial"/>
          <w:sz w:val="16"/>
          <w:szCs w:val="16"/>
          <w:color w:val="auto"/>
        </w:rPr>
        <w:t>(</w:t>
      </w:r>
      <w:r>
        <w:rPr>
          <w:rFonts w:ascii="Arial" w:cs="Arial" w:eastAsia="Arial" w:hAnsi="Arial"/>
          <w:sz w:val="16"/>
          <w:szCs w:val="16"/>
          <w:b w:val="1"/>
          <w:bCs w:val="1"/>
          <w:color w:val="auto"/>
        </w:rPr>
        <w:t xml:space="preserve">9.9% </w:t>
      </w:r>
      <w:r>
        <w:rPr>
          <w:rFonts w:ascii="Arial" w:cs="Arial" w:eastAsia="Arial" w:hAnsi="Arial"/>
          <w:sz w:val="16"/>
          <w:szCs w:val="16"/>
          <w:color w:val="auto"/>
        </w:rPr>
        <w:t>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compared to prior year period</w:t>
      </w:r>
    </w:p>
    <w:p>
      <w:pPr>
        <w:spacing w:after="0" w:line="61" w:lineRule="exact"/>
        <w:rPr>
          <w:sz w:val="20"/>
          <w:szCs w:val="20"/>
          <w:color w:val="auto"/>
        </w:rPr>
      </w:pPr>
    </w:p>
    <w:p>
      <w:pPr>
        <w:ind w:left="20" w:right="100"/>
        <w:spacing w:after="0" w:line="286" w:lineRule="auto"/>
        <w:rPr>
          <w:sz w:val="20"/>
          <w:szCs w:val="20"/>
          <w:color w:val="auto"/>
        </w:rPr>
      </w:pPr>
      <w:r>
        <w:rPr>
          <w:rFonts w:ascii="Arial" w:cs="Arial" w:eastAsia="Arial" w:hAnsi="Arial"/>
          <w:sz w:val="16"/>
          <w:szCs w:val="16"/>
          <w:b w:val="1"/>
          <w:bCs w:val="1"/>
          <w:color w:val="auto"/>
        </w:rPr>
        <w:t xml:space="preserve">$220.2 million </w:t>
      </w:r>
      <w:r>
        <w:rPr>
          <w:rFonts w:ascii="Arial" w:cs="Arial" w:eastAsia="Arial" w:hAnsi="Arial"/>
          <w:sz w:val="16"/>
          <w:szCs w:val="16"/>
          <w:color w:val="auto"/>
        </w:rPr>
        <w:t>quarterly international revenues, an increase of</w:t>
      </w:r>
      <w:r>
        <w:rPr>
          <w:rFonts w:ascii="Arial" w:cs="Arial" w:eastAsia="Arial" w:hAnsi="Arial"/>
          <w:sz w:val="16"/>
          <w:szCs w:val="16"/>
          <w:b w:val="1"/>
          <w:bCs w:val="1"/>
          <w:color w:val="auto"/>
        </w:rPr>
        <w:t xml:space="preserve"> 16.8% </w:t>
      </w:r>
      <w:r>
        <w:rPr>
          <w:rFonts w:ascii="Arial" w:cs="Arial" w:eastAsia="Arial" w:hAnsi="Arial"/>
          <w:sz w:val="16"/>
          <w:szCs w:val="16"/>
          <w:color w:val="auto"/>
        </w:rPr>
        <w:t>(</w:t>
      </w:r>
      <w:r>
        <w:rPr>
          <w:rFonts w:ascii="Arial" w:cs="Arial" w:eastAsia="Arial" w:hAnsi="Arial"/>
          <w:sz w:val="16"/>
          <w:szCs w:val="16"/>
          <w:b w:val="1"/>
          <w:bCs w:val="1"/>
          <w:color w:val="auto"/>
        </w:rPr>
        <w:t xml:space="preserve">10.7% </w:t>
      </w:r>
      <w:r>
        <w:rPr>
          <w:rFonts w:ascii="Arial" w:cs="Arial" w:eastAsia="Arial" w:hAnsi="Arial"/>
          <w:sz w:val="16"/>
          <w:szCs w:val="16"/>
          <w:color w:val="auto"/>
        </w:rPr>
        <w:t>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currency basis) compared to prior year period</w:t>
      </w:r>
    </w:p>
    <w:p>
      <w:pPr>
        <w:spacing w:after="0" w:line="61" w:lineRule="exact"/>
        <w:rPr>
          <w:sz w:val="20"/>
          <w:szCs w:val="20"/>
          <w:color w:val="auto"/>
        </w:rPr>
      </w:pPr>
    </w:p>
    <w:p>
      <w:pPr>
        <w:ind w:left="20" w:right="100"/>
        <w:spacing w:after="0" w:line="266" w:lineRule="auto"/>
        <w:rPr>
          <w:sz w:val="20"/>
          <w:szCs w:val="20"/>
          <w:color w:val="auto"/>
        </w:rPr>
      </w:pPr>
      <w:r>
        <w:rPr>
          <w:rFonts w:ascii="Arial" w:cs="Arial" w:eastAsia="Arial" w:hAnsi="Arial"/>
          <w:sz w:val="16"/>
          <w:szCs w:val="16"/>
          <w:b w:val="1"/>
          <w:bCs w:val="1"/>
          <w:color w:val="auto"/>
        </w:rPr>
        <w:t xml:space="preserve">$2.8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23.3% </w:t>
      </w:r>
      <w:r>
        <w:rPr>
          <w:rFonts w:ascii="Arial" w:cs="Arial" w:eastAsia="Arial" w:hAnsi="Arial"/>
          <w:sz w:val="16"/>
          <w:szCs w:val="16"/>
          <w:color w:val="auto"/>
        </w:rPr>
        <w:t>compared to prior year period; quarterly ADV records in European government bonds, swaps/swaptions ≥ 1-year, U.S. ETFs and global repurchase agreements</w:t>
      </w:r>
    </w:p>
    <w:p>
      <w:pPr>
        <w:spacing w:after="0" w:line="77" w:lineRule="exact"/>
        <w:rPr>
          <w:sz w:val="20"/>
          <w:szCs w:val="20"/>
          <w:color w:val="auto"/>
        </w:rPr>
      </w:pPr>
    </w:p>
    <w:p>
      <w:pPr>
        <w:ind w:left="20" w:right="500"/>
        <w:spacing w:after="0" w:line="296" w:lineRule="auto"/>
        <w:rPr>
          <w:sz w:val="20"/>
          <w:szCs w:val="20"/>
          <w:color w:val="auto"/>
        </w:rPr>
      </w:pPr>
      <w:r>
        <w:rPr>
          <w:rFonts w:ascii="Arial" w:cs="Arial" w:eastAsia="Arial" w:hAnsi="Arial"/>
          <w:sz w:val="16"/>
          <w:szCs w:val="16"/>
          <w:b w:val="1"/>
          <w:bCs w:val="1"/>
          <w:color w:val="auto"/>
        </w:rPr>
        <w:t xml:space="preserve">$367.1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$207.0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129.5%</w:t>
      </w:r>
      <w:r>
        <w:rPr>
          <w:rFonts w:ascii="Arial" w:cs="Arial" w:eastAsia="Arial" w:hAnsi="Arial"/>
          <w:sz w:val="16"/>
          <w:szCs w:val="16"/>
          <w:color w:val="auto"/>
        </w:rPr>
        <w:t xml:space="preserve"> and </w:t>
      </w:r>
      <w:r>
        <w:rPr>
          <w:rFonts w:ascii="Arial" w:cs="Arial" w:eastAsia="Arial" w:hAnsi="Arial"/>
          <w:sz w:val="16"/>
          <w:szCs w:val="16"/>
          <w:b w:val="1"/>
          <w:bCs w:val="1"/>
          <w:color w:val="auto"/>
        </w:rPr>
        <w:t>14.2%</w:t>
      </w:r>
      <w:r>
        <w:rPr>
          <w:rFonts w:ascii="Arial" w:cs="Arial" w:eastAsia="Arial" w:hAnsi="Arial"/>
          <w:sz w:val="16"/>
          <w:szCs w:val="16"/>
          <w:color w:val="auto"/>
        </w:rPr>
        <w:t xml:space="preserve"> respectively from prior year period</w:t>
      </w:r>
    </w:p>
    <w:p>
      <w:pPr>
        <w:spacing w:after="0" w:line="46"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53.2%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$277.3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52.8% and $244.7 million respectively for prior year period</w:t>
      </w:r>
    </w:p>
    <w:p>
      <w:pPr>
        <w:spacing w:after="0" w:line="48" w:lineRule="exact"/>
        <w:rPr>
          <w:sz w:val="20"/>
          <w:szCs w:val="20"/>
          <w:color w:val="auto"/>
        </w:rPr>
      </w:pPr>
    </w:p>
    <w:p>
      <w:pPr>
        <w:ind w:left="20" w:right="480"/>
        <w:spacing w:after="0" w:line="304"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$0.87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33" w:lineRule="exact"/>
        <w:rPr>
          <w:sz w:val="20"/>
          <w:szCs w:val="20"/>
          <w:color w:val="auto"/>
        </w:rPr>
      </w:pPr>
    </w:p>
    <w:p>
      <w:pPr>
        <w:ind w:left="20" w:right="300"/>
        <w:spacing w:after="0" w:line="286" w:lineRule="auto"/>
        <w:rPr>
          <w:sz w:val="20"/>
          <w:szCs w:val="20"/>
          <w:color w:val="auto"/>
        </w:rPr>
      </w:pPr>
      <w:r>
        <w:rPr>
          <w:rFonts w:ascii="Arial" w:cs="Arial" w:eastAsia="Arial" w:hAnsi="Arial"/>
          <w:sz w:val="16"/>
          <w:szCs w:val="16"/>
          <w:b w:val="1"/>
          <w:bCs w:val="1"/>
          <w:color w:val="auto"/>
        </w:rPr>
        <w:t xml:space="preserve">$0.14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16.7%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60" w:type="dxa"/>
            <w:vAlign w:val="bottom"/>
            <w:shd w:val="clear" w:color="auto" w:fill="083566"/>
          </w:tcPr>
          <w:p>
            <w:pPr>
              <w:spacing w:after="0"/>
              <w:rPr>
                <w:sz w:val="17"/>
                <w:szCs w:val="17"/>
                <w:color w:val="auto"/>
              </w:rPr>
            </w:pPr>
          </w:p>
        </w:tc>
        <w:tc>
          <w:tcPr>
            <w:tcW w:w="2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40" w:type="dxa"/>
            <w:vAlign w:val="bottom"/>
            <w:shd w:val="clear" w:color="auto" w:fill="083566"/>
          </w:tcPr>
          <w:p>
            <w:pPr>
              <w:spacing w:after="0"/>
              <w:rPr>
                <w:sz w:val="17"/>
                <w:szCs w:val="17"/>
                <w:color w:val="auto"/>
              </w:rPr>
            </w:pPr>
          </w:p>
        </w:tc>
        <w:tc>
          <w:tcPr>
            <w:tcW w:w="94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40" w:type="dxa"/>
            <w:vAlign w:val="bottom"/>
            <w:shd w:val="clear" w:color="auto" w:fill="083566"/>
          </w:tcPr>
          <w:p>
            <w:pPr>
              <w:spacing w:after="0"/>
              <w:rPr>
                <w:sz w:val="16"/>
                <w:szCs w:val="16"/>
                <w:color w:val="auto"/>
              </w:rPr>
            </w:pPr>
          </w:p>
        </w:tc>
        <w:tc>
          <w:tcPr>
            <w:tcW w:w="94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w w:val="99"/>
              </w:rPr>
              <w:t>Currency</w:t>
            </w:r>
          </w:p>
        </w:tc>
        <w:tc>
          <w:tcPr>
            <w:tcW w:w="0" w:type="dxa"/>
            <w:vAlign w:val="bottom"/>
          </w:tcPr>
          <w:p>
            <w:pPr>
              <w:spacing w:after="0"/>
              <w:rPr>
                <w:sz w:val="1"/>
                <w:szCs w:val="1"/>
                <w:color w:val="auto"/>
              </w:rPr>
            </w:pPr>
          </w:p>
        </w:tc>
      </w:tr>
      <w:tr>
        <w:trPr>
          <w:trHeight w:val="257"/>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4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59"/>
              <w:spacing w:after="0"/>
              <w:rPr>
                <w:sz w:val="20"/>
                <w:szCs w:val="20"/>
                <w:color w:val="auto"/>
              </w:rPr>
            </w:pPr>
            <w:r>
              <w:rPr>
                <w:rFonts w:ascii="Arial" w:cs="Arial" w:eastAsia="Arial" w:hAnsi="Arial"/>
                <w:sz w:val="16"/>
                <w:szCs w:val="16"/>
                <w:b w:val="1"/>
                <w:bCs w:val="1"/>
                <w:color w:val="FFFFFF"/>
              </w:rPr>
              <w:t>4Q25</w:t>
            </w:r>
          </w:p>
        </w:tc>
        <w:tc>
          <w:tcPr>
            <w:tcW w:w="200" w:type="dxa"/>
            <w:vAlign w:val="bottom"/>
            <w:shd w:val="clear" w:color="auto" w:fill="083566"/>
          </w:tcPr>
          <w:p>
            <w:pPr>
              <w:spacing w:after="0"/>
              <w:rPr>
                <w:sz w:val="22"/>
                <w:szCs w:val="22"/>
                <w:color w:val="auto"/>
              </w:rPr>
            </w:pPr>
          </w:p>
        </w:tc>
        <w:tc>
          <w:tcPr>
            <w:tcW w:w="940" w:type="dxa"/>
            <w:vAlign w:val="bottom"/>
            <w:shd w:val="clear" w:color="auto" w:fill="083566"/>
          </w:tcPr>
          <w:p>
            <w:pPr>
              <w:jc w:val="right"/>
              <w:ind w:right="319"/>
              <w:spacing w:after="0"/>
              <w:rPr>
                <w:sz w:val="20"/>
                <w:szCs w:val="20"/>
                <w:color w:val="auto"/>
              </w:rPr>
            </w:pPr>
            <w:r>
              <w:rPr>
                <w:rFonts w:ascii="Arial" w:cs="Arial" w:eastAsia="Arial" w:hAnsi="Arial"/>
                <w:sz w:val="16"/>
                <w:szCs w:val="16"/>
                <w:b w:val="1"/>
                <w:bCs w:val="1"/>
                <w:color w:val="FFFFFF"/>
              </w:rPr>
              <w:t>4Q24</w:t>
            </w:r>
          </w:p>
        </w:tc>
        <w:tc>
          <w:tcPr>
            <w:tcW w:w="94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center"/>
              <w:spacing w:after="0"/>
              <w:rPr>
                <w:sz w:val="20"/>
                <w:szCs w:val="20"/>
                <w:color w:val="auto"/>
              </w:rPr>
            </w:pPr>
            <w:r>
              <w:rPr>
                <w:rFonts w:ascii="Arial" w:cs="Arial" w:eastAsia="Arial" w:hAnsi="Arial"/>
                <w:sz w:val="16"/>
                <w:szCs w:val="16"/>
                <w:b w:val="1"/>
                <w:bCs w:val="1"/>
                <w:color w:val="FFFFFF"/>
                <w:w w:val="97"/>
              </w:rPr>
              <w:t xml:space="preserve">Change </w:t>
            </w:r>
            <w:r>
              <w:rPr>
                <w:rFonts w:ascii="Arial" w:cs="Arial" w:eastAsia="Arial" w:hAnsi="Arial"/>
                <w:sz w:val="21"/>
                <w:szCs w:val="21"/>
                <w:b w:val="1"/>
                <w:bCs w:val="1"/>
                <w:color w:val="FFFFFF"/>
                <w:w w:val="97"/>
                <w:vertAlign w:val="superscript"/>
              </w:rPr>
              <w:t>(1)</w:t>
            </w: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40" w:type="dxa"/>
            <w:vAlign w:val="bottom"/>
            <w:shd w:val="clear" w:color="auto" w:fill="D5DCE4"/>
          </w:tcPr>
          <w:p>
            <w:pPr>
              <w:spacing w:after="0"/>
              <w:rPr>
                <w:sz w:val="21"/>
                <w:szCs w:val="21"/>
                <w:color w:val="auto"/>
              </w:rPr>
            </w:pPr>
          </w:p>
        </w:tc>
        <w:tc>
          <w:tcPr>
            <w:tcW w:w="94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521,183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463,344</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12.5 %</w:t>
            </w:r>
          </w:p>
        </w:tc>
        <w:tc>
          <w:tcPr>
            <w:tcW w:w="560" w:type="dxa"/>
            <w:vAlign w:val="bottom"/>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60" w:type="dxa"/>
            <w:vAlign w:val="bottom"/>
          </w:tcPr>
          <w:p>
            <w:pPr>
              <w:ind w:left="140"/>
              <w:spacing w:after="0"/>
              <w:rPr>
                <w:sz w:val="20"/>
                <w:szCs w:val="20"/>
                <w:color w:val="auto"/>
              </w:rPr>
            </w:pPr>
            <w:r>
              <w:rPr>
                <w:rFonts w:ascii="Arial" w:cs="Arial" w:eastAsia="Arial" w:hAnsi="Arial"/>
                <w:sz w:val="16"/>
                <w:szCs w:val="16"/>
                <w:color w:val="auto"/>
              </w:rPr>
              <w:t>Rates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279,083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240,192</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16.2 %</w:t>
            </w:r>
          </w:p>
        </w:tc>
        <w:tc>
          <w:tcPr>
            <w:tcW w:w="560" w:type="dxa"/>
            <w:vAlign w:val="bottom"/>
          </w:tcPr>
          <w:p>
            <w:pPr>
              <w:jc w:val="right"/>
              <w:spacing w:after="0"/>
              <w:rPr>
                <w:sz w:val="20"/>
                <w:szCs w:val="20"/>
                <w:color w:val="auto"/>
              </w:rPr>
            </w:pPr>
            <w:r>
              <w:rPr>
                <w:rFonts w:ascii="Arial" w:cs="Arial" w:eastAsia="Arial" w:hAnsi="Arial"/>
                <w:sz w:val="16"/>
                <w:szCs w:val="16"/>
                <w:color w:val="auto"/>
              </w:rPr>
              <w:t>12.9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760" w:type="dxa"/>
            <w:vAlign w:val="bottom"/>
          </w:tcPr>
          <w:p>
            <w:pPr>
              <w:ind w:left="140"/>
              <w:spacing w:after="0"/>
              <w:rPr>
                <w:sz w:val="20"/>
                <w:szCs w:val="20"/>
                <w:color w:val="auto"/>
              </w:rPr>
            </w:pPr>
            <w:r>
              <w:rPr>
                <w:rFonts w:ascii="Arial" w:cs="Arial" w:eastAsia="Arial" w:hAnsi="Arial"/>
                <w:sz w:val="16"/>
                <w:szCs w:val="16"/>
                <w:color w:val="auto"/>
              </w:rPr>
              <w:t>Credit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118,408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113,572</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4.3 %</w:t>
            </w: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6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31,533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28,749</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9.7 %</w:t>
            </w: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6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45,623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44,258</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3.1 %</w:t>
            </w: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76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33,783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30,011</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12.6 %</w:t>
            </w:r>
          </w:p>
        </w:tc>
        <w:tc>
          <w:tcPr>
            <w:tcW w:w="560" w:type="dxa"/>
            <w:vAlign w:val="bottom"/>
          </w:tcPr>
          <w:p>
            <w:pPr>
              <w:jc w:val="right"/>
              <w:spacing w:after="0"/>
              <w:rPr>
                <w:sz w:val="20"/>
                <w:szCs w:val="20"/>
                <w:color w:val="auto"/>
              </w:rPr>
            </w:pPr>
            <w:r>
              <w:rPr>
                <w:rFonts w:ascii="Arial" w:cs="Arial" w:eastAsia="Arial" w:hAnsi="Arial"/>
                <w:sz w:val="16"/>
                <w:szCs w:val="16"/>
                <w:color w:val="auto"/>
              </w:rPr>
              <w:t>11.5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60" w:type="dxa"/>
            <w:vAlign w:val="bottom"/>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12,753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6,562</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94.3 %</w:t>
            </w:r>
          </w:p>
        </w:tc>
        <w:tc>
          <w:tcPr>
            <w:tcW w:w="560" w:type="dxa"/>
            <w:vAlign w:val="bottom"/>
          </w:tcPr>
          <w:p>
            <w:pPr>
              <w:jc w:val="right"/>
              <w:spacing w:after="0"/>
              <w:rPr>
                <w:sz w:val="20"/>
                <w:szCs w:val="20"/>
                <w:color w:val="auto"/>
              </w:rPr>
            </w:pPr>
            <w:r>
              <w:rPr>
                <w:rFonts w:ascii="Arial" w:cs="Arial" w:eastAsia="Arial" w:hAnsi="Arial"/>
                <w:sz w:val="16"/>
                <w:szCs w:val="16"/>
                <w:color w:val="auto"/>
              </w:rPr>
              <w:t>94.3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221,013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188,540</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17.2 %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367,124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159,942</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129.5 %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324,992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142,210</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128.5 %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0.66</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128.8 %</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34.5 %</w:t>
            </w:r>
          </w:p>
        </w:tc>
        <w:tc>
          <w:tcPr>
            <w:tcW w:w="940" w:type="dxa"/>
            <w:vAlign w:val="bottom"/>
          </w:tcPr>
          <w:p>
            <w:pPr>
              <w:jc w:val="right"/>
              <w:spacing w:after="0"/>
              <w:rPr>
                <w:sz w:val="20"/>
                <w:szCs w:val="20"/>
                <w:color w:val="auto"/>
              </w:rPr>
            </w:pPr>
            <w:r>
              <w:rPr>
                <w:rFonts w:ascii="Arial" w:cs="Arial" w:eastAsia="Arial" w:hAnsi="Arial"/>
                <w:sz w:val="16"/>
                <w:szCs w:val="16"/>
                <w:color w:val="auto"/>
              </w:rPr>
              <w:t>+3,592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88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40" w:type="dxa"/>
            <w:vAlign w:val="bottom"/>
            <w:shd w:val="clear" w:color="auto" w:fill="D5DCE4"/>
          </w:tcPr>
          <w:p>
            <w:pPr>
              <w:spacing w:after="0"/>
              <w:rPr>
                <w:sz w:val="21"/>
                <w:szCs w:val="21"/>
                <w:color w:val="auto"/>
              </w:rPr>
            </w:pPr>
          </w:p>
        </w:tc>
        <w:tc>
          <w:tcPr>
            <w:tcW w:w="94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277,319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244,743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13.3 %</w:t>
            </w: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53.2 %</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52.8 %</w:t>
            </w:r>
          </w:p>
        </w:tc>
        <w:tc>
          <w:tcPr>
            <w:tcW w:w="940" w:type="dxa"/>
            <w:vAlign w:val="bottom"/>
          </w:tcPr>
          <w:p>
            <w:pPr>
              <w:jc w:val="right"/>
              <w:spacing w:after="0"/>
              <w:rPr>
                <w:sz w:val="20"/>
                <w:szCs w:val="20"/>
                <w:color w:val="auto"/>
              </w:rPr>
            </w:pPr>
            <w:r>
              <w:rPr>
                <w:rFonts w:ascii="Arial" w:cs="Arial" w:eastAsia="Arial" w:hAnsi="Arial"/>
                <w:sz w:val="16"/>
                <w:szCs w:val="16"/>
                <w:color w:val="auto"/>
              </w:rPr>
              <w:t>+39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 bps</w:t>
            </w: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257,129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227,347</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13.1 %</w:t>
            </w: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49.3 %</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49.1 %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+27 bps</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+45 bps</w:t>
            </w: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206,973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181,183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14.2 %</w:t>
            </w:r>
          </w:p>
        </w:tc>
        <w:tc>
          <w:tcPr>
            <w:tcW w:w="560" w:type="dxa"/>
            <w:vAlign w:val="bottom"/>
          </w:tcPr>
          <w:p>
            <w:pPr>
              <w:jc w:val="right"/>
              <w:spacing w:after="0"/>
              <w:rPr>
                <w:sz w:val="20"/>
                <w:szCs w:val="20"/>
                <w:color w:val="auto"/>
              </w:rPr>
            </w:pPr>
            <w:r>
              <w:rPr>
                <w:rFonts w:ascii="Arial" w:cs="Arial" w:eastAsia="Arial" w:hAnsi="Arial"/>
                <w:sz w:val="16"/>
                <w:szCs w:val="16"/>
                <w:color w:val="auto"/>
              </w:rPr>
              <w:t>12.2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0.87</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0.76</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14.5 %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Billy Hult, CEO of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103245" cy="2880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3245" cy="2880360"/>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"Tradeweb delivered strong fourth-quarter results, reporting record</w:t>
      </w:r>
    </w:p>
    <w:p>
      <w:pPr>
        <w:spacing w:after="0" w:line="17" w:lineRule="exact"/>
        <w:rPr>
          <w:sz w:val="20"/>
          <w:szCs w:val="20"/>
          <w:color w:val="auto"/>
        </w:rPr>
      </w:pPr>
    </w:p>
    <w:p>
      <w:pPr>
        <w:ind w:left="20" w:right="640"/>
        <w:spacing w:after="0" w:line="234" w:lineRule="auto"/>
        <w:rPr>
          <w:sz w:val="20"/>
          <w:szCs w:val="20"/>
          <w:color w:val="auto"/>
        </w:rPr>
      </w:pPr>
      <w:r>
        <w:rPr>
          <w:rFonts w:ascii="Arial" w:cs="Arial" w:eastAsia="Arial" w:hAnsi="Arial"/>
          <w:sz w:val="15"/>
          <w:szCs w:val="15"/>
          <w:color w:val="auto"/>
        </w:rPr>
        <w:t>revenue of $521 million. This performance reflected consistent execution across our global platform and the strength of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diversified business model. We continued to invest in our core</w:t>
      </w:r>
    </w:p>
    <w:p>
      <w:pPr>
        <w:spacing w:after="0" w:line="3" w:lineRule="exact"/>
        <w:rPr>
          <w:sz w:val="20"/>
          <w:szCs w:val="20"/>
          <w:color w:val="auto"/>
        </w:rPr>
      </w:pPr>
    </w:p>
    <w:p>
      <w:pPr>
        <w:ind w:left="20" w:right="240"/>
        <w:spacing w:after="0" w:line="234" w:lineRule="auto"/>
        <w:rPr>
          <w:sz w:val="20"/>
          <w:szCs w:val="20"/>
          <w:color w:val="auto"/>
        </w:rPr>
      </w:pPr>
      <w:r>
        <w:rPr>
          <w:rFonts w:ascii="Arial" w:cs="Arial" w:eastAsia="Arial" w:hAnsi="Arial"/>
          <w:sz w:val="15"/>
          <w:szCs w:val="15"/>
          <w:color w:val="auto"/>
        </w:rPr>
        <w:t>markets while shaping the future of institutional market structure and digital finance. Tradeweb completed the first on-chain electronic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auction for brokered certificates of deposits, announced a</w:t>
      </w:r>
    </w:p>
    <w:p>
      <w:pPr>
        <w:spacing w:after="0" w:line="3" w:lineRule="exact"/>
        <w:rPr>
          <w:sz w:val="20"/>
          <w:szCs w:val="20"/>
          <w:color w:val="auto"/>
        </w:rPr>
      </w:pPr>
    </w:p>
    <w:p>
      <w:pPr>
        <w:ind w:left="20" w:right="280"/>
        <w:spacing w:after="0" w:line="234" w:lineRule="auto"/>
        <w:rPr>
          <w:sz w:val="20"/>
          <w:szCs w:val="20"/>
          <w:color w:val="auto"/>
        </w:rPr>
      </w:pPr>
      <w:r>
        <w:rPr>
          <w:rFonts w:ascii="Arial" w:cs="Arial" w:eastAsia="Arial" w:hAnsi="Arial"/>
          <w:sz w:val="15"/>
          <w:szCs w:val="15"/>
          <w:color w:val="auto"/>
        </w:rPr>
        <w:t>collaboration with Chainlink to publish FTSE U.S. Treasury Benchmark Closing Prices on-chain, and continued to play a central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role in evolving the Canton Network. Tradeweb also expanded</w:t>
      </w:r>
    </w:p>
    <w:p>
      <w:pPr>
        <w:spacing w:after="0" w:line="3" w:lineRule="exact"/>
        <w:rPr>
          <w:sz w:val="20"/>
          <w:szCs w:val="20"/>
          <w:color w:val="auto"/>
        </w:rPr>
      </w:pPr>
    </w:p>
    <w:p>
      <w:pPr>
        <w:ind w:left="20" w:right="320"/>
        <w:spacing w:after="0" w:line="234" w:lineRule="auto"/>
        <w:rPr>
          <w:sz w:val="20"/>
          <w:szCs w:val="20"/>
          <w:color w:val="auto"/>
        </w:rPr>
      </w:pPr>
      <w:r>
        <w:rPr>
          <w:rFonts w:ascii="Arial" w:cs="Arial" w:eastAsia="Arial" w:hAnsi="Arial"/>
          <w:sz w:val="15"/>
          <w:szCs w:val="15"/>
          <w:color w:val="auto"/>
        </w:rPr>
        <w:t>electronic execution in Europe, with its first invoice spread trade via request-for-market, and continued to expand its emerging markets</w:t>
      </w:r>
    </w:p>
    <w:p>
      <w:pPr>
        <w:spacing w:after="0" w:line="1" w:lineRule="exact"/>
        <w:rPr>
          <w:sz w:val="20"/>
          <w:szCs w:val="20"/>
          <w:color w:val="auto"/>
        </w:rPr>
      </w:pPr>
    </w:p>
    <w:p>
      <w:pPr>
        <w:ind w:left="20" w:right="380"/>
        <w:spacing w:after="0" w:line="263" w:lineRule="auto"/>
        <w:rPr>
          <w:sz w:val="20"/>
          <w:szCs w:val="20"/>
          <w:color w:val="auto"/>
        </w:rPr>
      </w:pPr>
      <w:r>
        <w:rPr>
          <w:rFonts w:ascii="Arial" w:cs="Arial" w:eastAsia="Arial" w:hAnsi="Arial"/>
          <w:sz w:val="15"/>
          <w:szCs w:val="15"/>
          <w:color w:val="auto"/>
        </w:rPr>
        <w:t>presence by launching an alternative trading system for sukuk and SAR-denominated debt instruments in Saudi Arabia.</w:t>
      </w:r>
    </w:p>
    <w:p>
      <w:pPr>
        <w:spacing w:after="0" w:line="121" w:lineRule="exact"/>
        <w:rPr>
          <w:sz w:val="20"/>
          <w:szCs w:val="20"/>
          <w:color w:val="auto"/>
        </w:rPr>
      </w:pPr>
    </w:p>
    <w:p>
      <w:pPr>
        <w:ind w:left="20" w:right="40"/>
        <w:spacing w:after="0" w:line="230" w:lineRule="auto"/>
        <w:rPr>
          <w:sz w:val="20"/>
          <w:szCs w:val="20"/>
          <w:color w:val="auto"/>
        </w:rPr>
      </w:pPr>
      <w:r>
        <w:rPr>
          <w:rFonts w:ascii="Arial" w:cs="Arial" w:eastAsia="Arial" w:hAnsi="Arial"/>
          <w:sz w:val="15"/>
          <w:szCs w:val="15"/>
          <w:color w:val="auto"/>
        </w:rPr>
        <w:t>All in, Tradeweb reported its 26th consecutive year of record annual revenue in 2025, underscoring the earnings durability of our multi-asset model spanning multiple client sectors and geographies. That momentum has continued into 2026, with January average daily volume of $3.1 trillion thanks to double-digit YoY ADV growth across rates, credit and money markets. As electronification continues to advance and trading evolves with the rise of tokenization and digital-native asset classes, Tradeweb is well-positioned to build the</w:t>
      </w:r>
    </w:p>
    <w:p>
      <w:pPr>
        <w:spacing w:after="0" w:line="1" w:lineRule="exact"/>
        <w:rPr>
          <w:sz w:val="20"/>
          <w:szCs w:val="20"/>
          <w:color w:val="auto"/>
        </w:rPr>
      </w:pPr>
    </w:p>
    <w:p>
      <w:pPr>
        <w:ind w:left="20" w:right="80"/>
        <w:spacing w:after="0" w:line="244" w:lineRule="auto"/>
        <w:rPr>
          <w:sz w:val="20"/>
          <w:szCs w:val="20"/>
          <w:color w:val="auto"/>
        </w:rPr>
      </w:pPr>
      <w:r>
        <w:rPr>
          <w:rFonts w:ascii="Arial" w:cs="Arial" w:eastAsia="Arial" w:hAnsi="Arial"/>
          <w:sz w:val="15"/>
          <w:szCs w:val="15"/>
          <w:color w:val="auto"/>
        </w:rPr>
        <w:t>institutional trading structure of the future – one that’s more connected, transparent, and resilient than ever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310324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3245" cy="557530"/>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FFFFFF"/>
              </w:rPr>
              <w:t>4Q25</w:t>
            </w:r>
          </w:p>
        </w:tc>
        <w:tc>
          <w:tcPr>
            <w:tcW w:w="160" w:type="dxa"/>
            <w:vAlign w:val="bottom"/>
          </w:tcPr>
          <w:p>
            <w:pPr>
              <w:spacing w:after="0"/>
              <w:rPr>
                <w:sz w:val="19"/>
                <w:szCs w:val="19"/>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FFFFFF"/>
              </w:rPr>
              <w:t>4Q24</w:t>
            </w: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35"/>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509</w:t>
            </w:r>
          </w:p>
        </w:tc>
        <w:tc>
          <w:tcPr>
            <w:tcW w:w="90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1,117</w:t>
            </w:r>
          </w:p>
        </w:tc>
        <w:tc>
          <w:tcPr>
            <w:tcW w:w="160" w:type="dxa"/>
            <w:vAlign w:val="bottom"/>
          </w:tcPr>
          <w:p>
            <w:pPr>
              <w:spacing w:after="0"/>
              <w:rPr>
                <w:sz w:val="21"/>
                <w:szCs w:val="21"/>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745</w:t>
            </w:r>
          </w:p>
        </w:tc>
        <w:tc>
          <w:tcPr>
            <w:tcW w:w="900" w:type="dxa"/>
            <w:vAlign w:val="bottom"/>
          </w:tcPr>
          <w:p>
            <w:pPr>
              <w:jc w:val="right"/>
              <w:spacing w:after="0"/>
              <w:rPr>
                <w:sz w:val="20"/>
                <w:szCs w:val="20"/>
                <w:color w:val="auto"/>
              </w:rPr>
            </w:pPr>
            <w:r>
              <w:rPr>
                <w:rFonts w:ascii="Arial" w:cs="Arial" w:eastAsia="Arial" w:hAnsi="Arial"/>
                <w:sz w:val="16"/>
                <w:szCs w:val="16"/>
                <w:color w:val="auto"/>
              </w:rPr>
              <w:t>50.0 %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1,674</w:t>
            </w:r>
          </w:p>
        </w:tc>
        <w:tc>
          <w:tcPr>
            <w:tcW w:w="1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1,253</w:t>
            </w:r>
          </w:p>
        </w:tc>
        <w:tc>
          <w:tcPr>
            <w:tcW w:w="9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33.5 %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900" w:type="dxa"/>
            <w:vAlign w:val="bottom"/>
          </w:tcPr>
          <w:p>
            <w:pPr>
              <w:jc w:val="right"/>
              <w:spacing w:after="0"/>
              <w:rPr>
                <w:sz w:val="20"/>
                <w:szCs w:val="20"/>
                <w:color w:val="auto"/>
              </w:rPr>
            </w:pPr>
            <w:r>
              <w:rPr>
                <w:rFonts w:ascii="Arial" w:cs="Arial" w:eastAsia="Arial" w:hAnsi="Arial"/>
                <w:sz w:val="16"/>
                <w:szCs w:val="16"/>
                <w:color w:val="auto"/>
              </w:rPr>
              <w:t>10.2 %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1"/>
                <w:szCs w:val="21"/>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900" w:type="dxa"/>
            <w:vAlign w:val="bottom"/>
          </w:tcPr>
          <w:p>
            <w:pPr>
              <w:jc w:val="right"/>
              <w:spacing w:after="0"/>
              <w:rPr>
                <w:sz w:val="20"/>
                <w:szCs w:val="20"/>
                <w:color w:val="auto"/>
              </w:rPr>
            </w:pPr>
            <w:r>
              <w:rPr>
                <w:rFonts w:ascii="Arial" w:cs="Arial" w:eastAsia="Arial" w:hAnsi="Arial"/>
                <w:sz w:val="16"/>
                <w:szCs w:val="16"/>
                <w:color w:val="auto"/>
              </w:rPr>
              <w:t>37.9 %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22.9 %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900" w:type="dxa"/>
            <w:vAlign w:val="bottom"/>
          </w:tcPr>
          <w:p>
            <w:pPr>
              <w:jc w:val="right"/>
              <w:spacing w:after="0"/>
              <w:rPr>
                <w:sz w:val="20"/>
                <w:szCs w:val="20"/>
                <w:color w:val="auto"/>
              </w:rPr>
            </w:pPr>
            <w:r>
              <w:rPr>
                <w:rFonts w:ascii="Arial" w:cs="Arial" w:eastAsia="Arial" w:hAnsi="Arial"/>
                <w:sz w:val="16"/>
                <w:szCs w:val="16"/>
                <w:color w:val="auto"/>
              </w:rPr>
              <w:t>23.6 %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1"/>
                <w:szCs w:val="21"/>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90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24</w:t>
            </w:r>
          </w:p>
        </w:tc>
        <w:tc>
          <w:tcPr>
            <w:tcW w:w="9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15.3 %</w:t>
            </w:r>
          </w:p>
        </w:tc>
      </w:tr>
      <w:tr>
        <w:trPr>
          <w:trHeight w:val="23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Pr>
          <w:p>
            <w:pPr>
              <w:spacing w:after="0"/>
              <w:rPr>
                <w:sz w:val="20"/>
                <w:szCs w:val="20"/>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988</w:t>
            </w:r>
          </w:p>
        </w:tc>
        <w:tc>
          <w:tcPr>
            <w:tcW w:w="90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98"/>
        </w:trPr>
        <w:tc>
          <w:tcPr>
            <w:tcW w:w="118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4"/>
                <w:szCs w:val="24"/>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Borders>
              <w:bottom w:val="single" w:sz="8" w:color="083566"/>
            </w:tcBorders>
            <w:shd w:val="clear" w:color="auto" w:fill="D5DCE4"/>
          </w:tcPr>
          <w:p>
            <w:pPr>
              <w:spacing w:after="0"/>
              <w:rPr>
                <w:sz w:val="24"/>
                <w:szCs w:val="24"/>
                <w:color w:val="auto"/>
              </w:rPr>
            </w:pPr>
          </w:p>
        </w:tc>
        <w:tc>
          <w:tcPr>
            <w:tcW w:w="820" w:type="dxa"/>
            <w:vAlign w:val="bottom"/>
            <w:tcBorders>
              <w:bottom w:val="single" w:sz="8" w:color="083566"/>
            </w:tcBorders>
            <w:shd w:val="clear" w:color="auto" w:fill="D5DCE4"/>
          </w:tcPr>
          <w:p>
            <w:pPr>
              <w:jc w:val="right"/>
              <w:ind w:right="119"/>
              <w:spacing w:after="0"/>
              <w:rPr>
                <w:sz w:val="20"/>
                <w:szCs w:val="20"/>
                <w:color w:val="auto"/>
              </w:rPr>
            </w:pPr>
            <w:r>
              <w:rPr>
                <w:rFonts w:ascii="Arial" w:cs="Arial" w:eastAsia="Arial" w:hAnsi="Arial"/>
                <w:sz w:val="16"/>
                <w:szCs w:val="16"/>
                <w:color w:val="auto"/>
              </w:rPr>
              <w:t>988</w:t>
            </w:r>
          </w:p>
        </w:tc>
        <w:tc>
          <w:tcPr>
            <w:tcW w:w="9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10.5 %</w:t>
            </w:r>
          </w:p>
        </w:tc>
      </w:tr>
      <w:tr>
        <w:trPr>
          <w:trHeight w:val="324"/>
        </w:trPr>
        <w:tc>
          <w:tcPr>
            <w:tcW w:w="1180" w:type="dxa"/>
            <w:vAlign w:val="bottom"/>
          </w:tcPr>
          <w:p>
            <w:pPr>
              <w:spacing w:after="0"/>
              <w:rPr>
                <w:sz w:val="24"/>
                <w:szCs w:val="24"/>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2,827</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2,292</w:t>
            </w:r>
          </w:p>
        </w:tc>
        <w:tc>
          <w:tcPr>
            <w:tcW w:w="9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23.3 %</w:t>
            </w:r>
          </w:p>
        </w:tc>
      </w:tr>
    </w:tbl>
    <w:p>
      <w:pPr>
        <w:spacing w:after="0" w:line="257" w:lineRule="exact"/>
        <w:rPr>
          <w:sz w:val="20"/>
          <w:szCs w:val="20"/>
          <w:color w:val="auto"/>
        </w:rPr>
      </w:pPr>
    </w:p>
    <w:p>
      <w:pPr>
        <w:ind w:left="260" w:right="160" w:hanging="246"/>
        <w:spacing w:after="0" w:line="261" w:lineRule="auto"/>
        <w:tabs>
          <w:tab w:leader="none" w:pos="19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9" w:lineRule="exact"/>
        <w:rPr>
          <w:rFonts w:ascii="Arial" w:cs="Arial" w:eastAsia="Arial" w:hAnsi="Arial"/>
          <w:sz w:val="12"/>
          <w:szCs w:val="12"/>
          <w:color w:val="auto"/>
        </w:rPr>
      </w:pPr>
    </w:p>
    <w:p>
      <w:pPr>
        <w:ind w:left="200" w:hanging="186"/>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00" w:space="200"/>
            <w:col w:w="4880"/>
          </w:cols>
          <w:pgMar w:left="320" w:top="179"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2025</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$279.1 million in the fourth quarter of 2025 increased 16.2% compared to prior year period (increased 12.9%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basis). Rates ADV was up 33.5% from prior year period, driven by an 82.1% increase in swaps/swaptions &lt; 1-year and record volume in swaps/swaptions ≥ 1-year. Mortgages ADV was up 9.7% from prior year period, driven by increased To-Be-Announced ("TBA") activity, which was led by heightened participation from real-money accounts and mortgage originators, alongside elevated dollar-roll trading. Tradeweb's specified pool volumes also delivered strong ADV growth supported by continued expansion in client and dealer participation. European government bonds ADV was also a record, </w:t>
      </w:r>
      <w:r>
        <w:rPr>
          <w:rFonts w:ascii="Arial" w:cs="Arial" w:eastAsia="Arial" w:hAnsi="Arial"/>
          <w:sz w:val="17"/>
          <w:szCs w:val="17"/>
          <w:color w:val="auto"/>
        </w:rPr>
        <w:t>up</w:t>
      </w:r>
      <w:r>
        <w:rPr>
          <w:rFonts w:ascii="Arial" w:cs="Arial" w:eastAsia="Arial" w:hAnsi="Arial"/>
          <w:sz w:val="16"/>
          <w:szCs w:val="16"/>
          <w:color w:val="auto"/>
        </w:rPr>
        <w:t xml:space="preserve"> 29.7% from prior year period, driven by robust volume across our institutional and wholesale client channels and U.S. government bond volume remained robust.</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$118.4 million in the fourth quarter of 2025 increased 4.3% compared to prior year period (increased 2.5%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22.9% from prior year period, driven by strong activity in credit derivatives, U.S. and European credit and municipal bond volumes. U.S. credit ADV was up 4.5% from prior year period, reflecting continued client adoption across Tradeweb products and protocols, most notably in request-for-quote ("RFQ"), Tradeweb AllTrade® and Portfolio Trading ("PT"). European Credit ADV was up 15.6% from prior year period, driven by robust activity across a wide range of protocols including Tradeweb's Automated Intelligent Execution tool ("AiEX") and PT. Municipal bond ADV was up 17.3% from prior year period. We reported 18.3% share of fully electronic U.S. high grade TRACE, which remained flat from prior year period and 8.1% share of fully electronic U.S. high yield TRACE, up 20 bps from prior year period. We also reported 25.7% total share of U.S. high grade TRACE, down 110 bps from prior year period and 10.0% total share of U.S. high yield TRACE, which remained flat from prior year period.</w:t>
      </w:r>
    </w:p>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$31.5 million in the fourth quarter of 2025 increased 9.7% compared to prior year period (increased 5.9%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15.3% from prior year period driven by record volume in U.S. ETFs, which was led by strong year-over-year growth in institutional and wholesale trading.</w:t>
      </w:r>
    </w:p>
    <w:p>
      <w:pPr>
        <w:spacing w:after="0" w:line="191"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$45.6 million in the fourth quarter of 2025 increased 3.1% compared to prior year period (increased 2.0%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10.5% from prior year period, primarily driven by record ADV in global repurchase agreements, which was supported by increased client participation.</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$33.8 million in the fourth quarter of 2025 increased 12.6% compared to prior year period (increased 11.5%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higher fees resulting from our amended LSEG market data license agreement effective November 1, 2025 and other increases in proprietary third party market data revenue.</w:t>
      </w:r>
    </w:p>
    <w:p>
      <w:pPr>
        <w:spacing w:after="0" w:line="191"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$12.8 million in the fourth quarter of 2025 increased 94.3% compared to prior year period (increased 94.3%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primarily due to an increase in digital asset revenue earned for performing validation services on the Canton Network.</w:t>
      </w:r>
    </w:p>
    <w:p>
      <w:pPr>
        <w:spacing w:after="0" w:line="16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$300.2 million in the fourth quarter of 2025 increased 9.2% compared to $274.8 million in the prior year period, primarily due to (i)</w:t>
      </w:r>
      <w:r>
        <w:rPr>
          <w:rFonts w:ascii="Arial" w:cs="Arial" w:eastAsia="Arial" w:hAnsi="Arial"/>
          <w:sz w:val="16"/>
          <w:szCs w:val="16"/>
          <w:b w:val="1"/>
          <w:bCs w:val="1"/>
          <w:color w:val="auto"/>
        </w:rPr>
        <w:t xml:space="preserve"> </w:t>
      </w:r>
      <w:r>
        <w:rPr>
          <w:rFonts w:ascii="Arial" w:cs="Arial" w:eastAsia="Arial" w:hAnsi="Arial"/>
          <w:sz w:val="16"/>
          <w:szCs w:val="16"/>
          <w:color w:val="auto"/>
        </w:rPr>
        <w:t>an increase in general and administrative expenses as a result of a decrease in foreign exchange gains, (ii) an increase in employee compensation and benefits as a result of an increase in headcount to support our continued growth and (iii) an increase in technology and communication expense due to continued investment in our data strategy and infrastructure and increased clearance and data fees driven primarily by higher trading volumes from prior year period.</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$264.1 million in the fourth quarter of 2025 increased 11.9% (increased 9.0%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(i) an increase in employee compensation and benefits as a result of an increase in headcount to support our continued growth, (ii) an increase in technology and communication expense due to continued investment in our data strategy and infrastructure and increased clearance and data fees driven primarily by higher trading volumes from prior year period and (iii) an increase in general and administrative expenses primarily as a result of a decrease in foreign exchange gains. Please see "Non-GAAP Financial Measures" below for additional information.</w:t>
      </w:r>
    </w:p>
    <w:p>
      <w:pPr>
        <w:spacing w:after="0" w:line="19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color w:val="auto"/>
        </w:rPr>
        <w:t xml:space="preserve">Non-operating Income – Other income (loss), net </w:t>
      </w:r>
      <w:r>
        <w:rPr>
          <w:rFonts w:ascii="Arial" w:cs="Arial" w:eastAsia="Arial" w:hAnsi="Arial"/>
          <w:sz w:val="16"/>
          <w:szCs w:val="16"/>
          <w:color w:val="auto"/>
        </w:rPr>
        <w:t>of $207.1 million of income in the fourth quarter of 2025 increased $208.2 million compared to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year period loss of $1.1 million, primarily due to realized and unrealized gains on our Canton Coin holdings, which totaled a gain of $205.4 million in the fourth quarter of 2025 compared to $0.2 million in prior year period. In November 2025, spot trading of the Canton Coin began across several global digital asset exchanges. Other income (loss), net is excluded from all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DISCUSSION OF RESULTS: FULL-YEAR 2025</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Tradeweb recorded its 26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of record annual revenues for the year ended December 31, 2025, as total revenues increased 18.9% (increased 17.5% on a constant currency basis) to $2.1 billion compared to full year 2024. Record revenue was driven by ADV of more than $2.6 trillion and record ADV activity in each of the following: U.S. government bonds; European government bonds; mortgages; swaps and swaptions ≥ 1-year; U.S. high-grade credit traded fully electronically; U.S. high-yield credit traded fully electronically; U.S. high-yield credit that is electronically processed; European credit bonds; municipal bonds; credit swaps; U.S. ETFs; international ETFs; convertibles, swaps and options; and repurchase agreements. Operating income increased 23.2% to $835.3 million for the year ended December 31, 2025 compared to $678.0 million in 2024, while net income increased 61.7% to $921.5 million for the year ended December 31, 2025 compared to $570.0 million in 2024. Net income in 2025 includes $270.9 million in non-operating other income gains on our Canton Coin holdings. Adjusted EBITDA margin increased to 54.0% for the year ended December 31, 2025 compared to 53.3% in 2024, representing an increase of 64 bps from prior year period (+70 bps on a constant currency basis). Diluted EPS increased 62.2% from prior year period to $3.78 for the year ended December 31, 2025, including the impact of non-operating other income primarily relating to gains on Canton Coins holdings. Adjusted Diluted EPS increased 18.8% from prior year period to $3.47 for the year ended December 31, 2025.</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2026</w:t>
      </w:r>
    </w:p>
    <w:p>
      <w:pPr>
        <w:spacing w:after="0" w:line="21" w:lineRule="exact"/>
        <w:rPr>
          <w:sz w:val="20"/>
          <w:szCs w:val="20"/>
          <w:color w:val="auto"/>
        </w:rPr>
      </w:pPr>
    </w:p>
    <w:p>
      <w:pPr>
        <w:ind w:left="660" w:right="26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Participated in a third wave of pioneering transactions on the Canton Network alongside a consortium of leading financial institutions, building on the successful completion of the initial on-chain U.S. Treasury financing in July 2025.</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Core Product</w:t>
      </w:r>
    </w:p>
    <w:p>
      <w:pPr>
        <w:spacing w:after="0" w:line="19" w:lineRule="exact"/>
        <w:rPr>
          <w:sz w:val="20"/>
          <w:szCs w:val="20"/>
          <w:color w:val="auto"/>
        </w:rPr>
      </w:pPr>
    </w:p>
    <w:p>
      <w:pPr>
        <w:ind w:left="660" w:right="80" w:hanging="328"/>
        <w:spacing w:after="0" w:line="22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Completed the first fully electronic European invoice spread trade via the request-for-market ("RFM") protocol on Tradeweb, with Nomura providing liquidity.</w:t>
      </w:r>
    </w:p>
    <w:p>
      <w:pPr>
        <w:spacing w:after="0" w:line="1" w:lineRule="exact"/>
        <w:rPr>
          <w:rFonts w:ascii="Arial" w:cs="Arial" w:eastAsia="Arial" w:hAnsi="Arial"/>
          <w:sz w:val="16"/>
          <w:szCs w:val="16"/>
          <w:color w:val="auto"/>
        </w:rPr>
      </w:pPr>
    </w:p>
    <w:p>
      <w:pPr>
        <w:ind w:left="660" w:right="180" w:hanging="328"/>
        <w:spacing w:after="0" w:line="23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an expansion of Tradeweb’s collaboration with the European Central Bank to provide them with repo trading services for public sector securities from major European jurisdictions.</w:t>
      </w:r>
    </w:p>
    <w:p>
      <w:pPr>
        <w:spacing w:after="0" w:line="1" w:lineRule="exact"/>
        <w:rPr>
          <w:rFonts w:ascii="Arial" w:cs="Arial" w:eastAsia="Arial" w:hAnsi="Arial"/>
          <w:sz w:val="16"/>
          <w:szCs w:val="16"/>
          <w:color w:val="auto"/>
        </w:rPr>
      </w:pPr>
    </w:p>
    <w:p>
      <w:pPr>
        <w:ind w:left="660" w:right="1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Completed the first-ever fully electronic RFM swaption package trade. Citadel and Barclays were counterparties on the trade, which was executed on the Tradeweb Swap Execution Facility ("TW SEF").</w:t>
      </w:r>
    </w:p>
    <w:p>
      <w:pPr>
        <w:ind w:left="660" w:right="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Expanded Tradeweb's dealer algorithmic execution capabilities for U.S. Treasuries, providing institutional clients with access to deeper liquidity and smarter execution strategies through Tradeweb's comprehensive dealer algo suite.</w:t>
      </w:r>
    </w:p>
    <w:p>
      <w:pPr>
        <w:ind w:left="660" w:right="12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Launched Tradeweb's Alternative Trading System ("ATS") for the execution of sukuk and Saudi Riyal ("SAR")-denominated debt instruments in the Kingdom of Saudi Arabia.</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 Assets and Blockchain Technology</w:t>
      </w:r>
    </w:p>
    <w:p>
      <w:pPr>
        <w:spacing w:after="0" w:line="6" w:lineRule="exact"/>
        <w:rPr>
          <w:sz w:val="20"/>
          <w:szCs w:val="20"/>
          <w:color w:val="auto"/>
        </w:rPr>
      </w:pPr>
    </w:p>
    <w:p>
      <w:pPr>
        <w:ind w:left="660" w:right="20" w:hanging="328"/>
        <w:spacing w:after="0" w:line="23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Diversified Canton Coin exposure by exchanging Canton Coin to acquire pre-funded warrants to purchase shares of common stock of Tharimmune, Inc. (Nasdaq CM: “THAR”), a publicly traded digital asset treasury (DAT) company whose goal is to advance the adoption of institutional and decentralized finance applications on the Canton Network.</w:t>
      </w:r>
    </w:p>
    <w:p>
      <w:pPr>
        <w:spacing w:after="0" w:line="1" w:lineRule="exact"/>
        <w:rPr>
          <w:rFonts w:ascii="Arial" w:cs="Arial" w:eastAsia="Arial" w:hAnsi="Arial"/>
          <w:sz w:val="16"/>
          <w:szCs w:val="16"/>
          <w:color w:val="auto"/>
        </w:rPr>
      </w:pPr>
    </w:p>
    <w:p>
      <w:pPr>
        <w:ind w:left="660" w:right="20" w:hanging="328"/>
        <w:spacing w:after="0" w:line="24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October 2025, Securitize announced that it entered into a definitive business combination agreement through which Securitize will become a publicly listed company, subject to shareholder approval, customary closing conditions and regulatory approvals, at a $1.25 billion pre-money equity value, subject to customary valuation adjustments. If the combination is completed, Tradeweb’s convertible note will convert into an equity interest in the combined public company, alongside other equity holders such as ARK Invest, BlackRock, Blockchain Capital, Hamilton Lane, Jump Crypto and Morgan Stanley Investment Management.</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Completed the industry's first on-chain electronic auction for brokered certificates of deposit ("CDs").</w:t>
      </w:r>
    </w:p>
    <w:p>
      <w:pPr>
        <w:spacing w:after="0" w:line="8" w:lineRule="exact"/>
        <w:rPr>
          <w:rFonts w:ascii="Arial" w:cs="Arial" w:eastAsia="Arial" w:hAnsi="Arial"/>
          <w:sz w:val="16"/>
          <w:szCs w:val="16"/>
          <w:color w:val="auto"/>
        </w:rPr>
      </w:pPr>
    </w:p>
    <w:p>
      <w:pPr>
        <w:ind w:left="660" w:right="60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Announced a collaboration with Chainlink, a leading operator for on-chain finance, to publish the Tradeweb FTSE U.S. Treasury Benchmark Closing Prices on-chain via DataLink, an institutional-grade data publishing service powered by Chainlink.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People</w:t>
      </w:r>
    </w:p>
    <w:p>
      <w:pPr>
        <w:spacing w:after="0" w:line="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Appointed Sandra "Sandee" Buchanan as Chief People Officer and a member of the Executive Committee.</w:t>
      </w:r>
    </w:p>
    <w:p>
      <w:pPr>
        <w:spacing w:after="0" w:line="14" w:lineRule="exact"/>
        <w:rPr>
          <w:rFonts w:ascii="Arial" w:cs="Arial" w:eastAsia="Arial" w:hAnsi="Arial"/>
          <w:sz w:val="16"/>
          <w:szCs w:val="16"/>
          <w:color w:val="auto"/>
        </w:rPr>
      </w:pPr>
    </w:p>
    <w:p>
      <w:pPr>
        <w:ind w:left="660" w:right="380" w:hanging="328"/>
        <w:spacing w:after="0" w:line="27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Appointed Rich Chun as Managing Director, Head of Asia, to oversee Tradeweb's business operations, client engagement efforts and strategic initiatives in the Asia Pacific region.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Awards</w:t>
      </w:r>
    </w:p>
    <w:p>
      <w:pPr>
        <w:spacing w:after="0" w:line="29" w:lineRule="exact"/>
        <w:rPr>
          <w:sz w:val="20"/>
          <w:szCs w:val="20"/>
          <w:color w:val="auto"/>
        </w:rPr>
      </w:pPr>
    </w:p>
    <w:p>
      <w:pPr>
        <w:ind w:left="660" w:right="40" w:hanging="328"/>
        <w:spacing w:after="0" w:line="25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and employees, including: </w:t>
      </w:r>
      <w:r>
        <w:rPr>
          <w:rFonts w:ascii="Arial" w:cs="Arial" w:eastAsia="Arial" w:hAnsi="Arial"/>
          <w:sz w:val="16"/>
          <w:szCs w:val="16"/>
          <w:i w:val="1"/>
          <w:iCs w:val="1"/>
          <w:color w:val="auto"/>
        </w:rPr>
        <w:t>Outstanding Fixed Income Trading Venue, Leaders in Trading</w:t>
      </w:r>
      <w:r>
        <w:rPr>
          <w:rFonts w:ascii="Arial" w:cs="Arial" w:eastAsia="Arial" w:hAnsi="Arial"/>
          <w:sz w:val="16"/>
          <w:szCs w:val="16"/>
          <w:color w:val="auto"/>
        </w:rPr>
        <w:t xml:space="preserve"> </w:t>
      </w:r>
      <w:r>
        <w:rPr>
          <w:rFonts w:ascii="Arial" w:cs="Arial" w:eastAsia="Arial" w:hAnsi="Arial"/>
          <w:sz w:val="16"/>
          <w:szCs w:val="16"/>
          <w:i w:val="1"/>
          <w:iCs w:val="1"/>
          <w:color w:val="auto"/>
        </w:rPr>
        <w:t>Awards (The Trade); 100 Most Influential Women in European Finance 2025 – Serene Murphy (Financial News); Excellence in Trading – Iseult Conlin, U.S. Women in Finance Awards (Markets Media); Rising Star – Casey Kenny, U.S. Women in Finance Awards (Markets Media); Excellence in Marketing – Susan Bennett, European Women in Finance Awards (Markets Media); Rising Star – Lou Ducasse, European Women in Finance Awards (Markets Media); Ascent Award – Roseann Hilway, Women in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$2.1 billion in cash and cash equivalents and an undrawn $500.0 million credit facility as of December 31, 2025</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2025, we held 1.6 billion Canton Coins, valued at $242.7 million</w:t>
      </w:r>
    </w:p>
    <w:p>
      <w:pPr>
        <w:spacing w:after="0" w:line="8" w:lineRule="exact"/>
        <w:rPr>
          <w:rFonts w:ascii="Arial" w:cs="Arial" w:eastAsia="Arial" w:hAnsi="Arial"/>
          <w:sz w:val="16"/>
          <w:szCs w:val="16"/>
          <w:color w:val="auto"/>
        </w:rPr>
      </w:pPr>
    </w:p>
    <w:p>
      <w:pPr>
        <w:ind w:left="660" w:right="800" w:hanging="328"/>
        <w:spacing w:after="0" w:line="25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for the year ended December 31, 2025 of $1.1 billion, up 31.6% compared to prior year period. See “Non-GAAP Financial Measures” for additional information</w:t>
      </w:r>
    </w:p>
    <w:p>
      <w:pPr>
        <w:ind w:left="660" w:right="240" w:hanging="328"/>
        <w:spacing w:after="0" w:line="25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paid for capital expenditures and capitalized software development in the fourth quarter 2025 of $34.8 million and $103.1 million in full-year 2025</w:t>
      </w:r>
    </w:p>
    <w:p>
      <w:pPr>
        <w:spacing w:after="0" w:line="1" w:lineRule="exact"/>
        <w:rPr>
          <w:rFonts w:ascii="Arial" w:cs="Arial" w:eastAsia="Arial" w:hAnsi="Arial"/>
          <w:sz w:val="16"/>
          <w:szCs w:val="16"/>
          <w:color w:val="auto"/>
        </w:rPr>
      </w:pPr>
    </w:p>
    <w:p>
      <w:pPr>
        <w:ind w:left="660" w:right="20" w:hanging="328"/>
        <w:spacing w:after="0" w:line="25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both the quarter and year ended December 31, 2025, as part of its 2022 Share Repurchase Program, Tradeweb purchased a total of 987,379 shares of Class A common stock, at an average price of $107.29, for purchases totaling $105.9 million. During the month of January 2026, Tradeweb purchased a total of 482,621 shares of Class A common stock, at an average price of $105.10, for purchases totaling $50.7 million. As of February 5, 2026, a total of $23.2 million remained available for repurchase pursuant to the 2022 Share Repurchase Program authorization</w:t>
      </w:r>
    </w:p>
    <w:p>
      <w:pPr>
        <w:ind w:left="660" w:right="60" w:hanging="328"/>
        <w:spacing w:after="0" w:line="25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February 5, 2026, the Board of Directors approved the 2026 Share Repurchase Program which authorizes the purchase of up to $500 million of the Company’s Class A common stock once the 2022 Share Repurchase Program has been exhausted</w:t>
      </w:r>
    </w:p>
    <w:p>
      <w:pPr>
        <w:ind w:left="660" w:right="280" w:hanging="328"/>
        <w:spacing w:after="0" w:line="25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$0.5 million in shares of Class A common stock were withheld in the fourth quarter of 2025 and $49.4 million in shares of Class A common stock were withheld in the full-year 2025 to satisfy tax obligations related to the exercise of stock options and vesting of restricted stock units and performance-based restricted stock units held by employees</w:t>
      </w:r>
    </w:p>
    <w:p>
      <w:pPr>
        <w:ind w:left="660" w:right="240" w:hanging="328"/>
        <w:spacing w:after="0" w:line="28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of Directors declared a quarterly cash dividend of $0.14 per share of Class A common stock and Class B common stock, a 16.7% per share increase from prior year. This dividend will be payable on March 16, 2026 to stockholders of record as of March 2, 2026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2026 Guidance*</w:t>
      </w:r>
    </w:p>
    <w:p>
      <w:pPr>
        <w:spacing w:after="0" w:line="12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Expenses: $1,100 - 1,160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and Refinitiv Transaction related depreciation and amortization expense: $160 million</w:t>
      </w:r>
    </w:p>
    <w:p>
      <w:pPr>
        <w:spacing w:after="0" w:line="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Assumed non-GAAP tax rate: ~23.5% - 24.5%</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Cash capital expenditures and capitalized software development: ~$107 - 117 million</w:t>
      </w:r>
    </w:p>
    <w:p>
      <w:pPr>
        <w:spacing w:after="0" w:line="13" w:lineRule="exact"/>
        <w:rPr>
          <w:rFonts w:ascii="Times New Roman" w:cs="Times New Roman" w:eastAsia="Times New Roman" w:hAnsi="Times New Roman"/>
          <w:sz w:val="16"/>
          <w:szCs w:val="16"/>
          <w:color w:val="auto"/>
        </w:rPr>
      </w:pP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LSEG Market Data Contract Revenue: ~$105 million</w:t>
      </w:r>
    </w:p>
    <w:p>
      <w:pPr>
        <w:spacing w:after="0" w:line="238"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2026 Sterling/US$ foreign exchange rate of 1.32.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fourth quarter and full year 2025 results starting at 9:30 AM EST today, February 5, 2026.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p>
    <w:p>
      <w:pPr>
        <w:spacing w:after="0" w:line="19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https://edge.media-server.com/mmc/p/sewc5z3i/</w:t>
      </w:r>
    </w:p>
    <w:p>
      <w:pPr>
        <w:spacing w:after="0" w:line="13"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https://register-conf.media-server.com/register/BI67c55c84683e4959a056498dfe6e355c</w:t>
      </w:r>
      <w:r>
        <w:rPr>
          <w:rFonts w:ascii="Arial" w:cs="Arial" w:eastAsia="Arial" w:hAnsi="Arial"/>
          <w:sz w:val="16"/>
          <w:szCs w:val="16"/>
          <w:color w:val="auto"/>
        </w:rPr>
        <w:t xml:space="preserve"> Registered participants will receive an email confirmation with a unique PIN to access the conference call.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$2.6 trillion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D5DCE4"/>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1"/>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D5DCE4"/>
          </w:tcPr>
          <w:p>
            <w:pPr>
              <w:spacing w:after="0"/>
              <w:rPr>
                <w:sz w:val="24"/>
                <w:szCs w:val="24"/>
                <w:color w:val="auto"/>
              </w:rPr>
            </w:pPr>
          </w:p>
        </w:tc>
        <w:tc>
          <w:tcPr>
            <w:tcW w:w="260" w:type="dxa"/>
            <w:vAlign w:val="bottom"/>
            <w:shd w:val="clear" w:color="auto" w:fill="D5DCE4"/>
          </w:tcPr>
          <w:p>
            <w:pPr>
              <w:spacing w:after="0"/>
              <w:rPr>
                <w:sz w:val="24"/>
                <w:szCs w:val="24"/>
                <w:color w:val="auto"/>
              </w:rPr>
            </w:pPr>
          </w:p>
        </w:tc>
        <w:tc>
          <w:tcPr>
            <w:tcW w:w="4900" w:type="dxa"/>
            <w:vAlign w:val="bottom"/>
            <w:gridSpan w:val="9"/>
            <w:shd w:val="clear" w:color="auto" w:fill="D5DCE4"/>
          </w:tcPr>
          <w:p>
            <w:pPr>
              <w:jc w:val="right"/>
              <w:ind w:right="5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shd w:val="clear" w:color="auto" w:fill="D5DCE4"/>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428,006</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384,128</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1,700,427</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1,423,547</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60,018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55,026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234,017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206,659</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93,197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82,145</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9,990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3,638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24,788</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13,598</w:t>
            </w:r>
          </w:p>
        </w:tc>
        <w:tc>
          <w:tcPr>
            <w:tcW w:w="0" w:type="dxa"/>
            <w:vAlign w:val="bottom"/>
          </w:tcPr>
          <w:p>
            <w:pPr>
              <w:spacing w:after="0"/>
              <w:rPr>
                <w:sz w:val="1"/>
                <w:szCs w:val="1"/>
                <w:color w:val="auto"/>
              </w:rPr>
            </w:pPr>
          </w:p>
        </w:tc>
      </w:tr>
      <w:tr>
        <w:trPr>
          <w:trHeight w:val="233"/>
        </w:trPr>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521,183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463,344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2,052,429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1,725,949</w:t>
            </w:r>
          </w:p>
        </w:tc>
        <w:tc>
          <w:tcPr>
            <w:tcW w:w="0" w:type="dxa"/>
            <w:vAlign w:val="bottom"/>
          </w:tcPr>
          <w:p>
            <w:pPr>
              <w:spacing w:after="0"/>
              <w:rPr>
                <w:sz w:val="1"/>
                <w:szCs w:val="1"/>
                <w:color w:val="auto"/>
              </w:rPr>
            </w:pPr>
          </w:p>
        </w:tc>
      </w:tr>
      <w:tr>
        <w:trPr>
          <w:trHeight w:val="274"/>
        </w:trPr>
        <w:tc>
          <w:tcPr>
            <w:tcW w:w="49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60" w:type="dxa"/>
            <w:vAlign w:val="bottom"/>
            <w:shd w:val="clear" w:color="auto" w:fill="D5DCE4"/>
          </w:tcPr>
          <w:p>
            <w:pPr>
              <w:spacing w:after="0"/>
              <w:rPr>
                <w:sz w:val="23"/>
                <w:szCs w:val="23"/>
                <w:color w:val="auto"/>
              </w:rPr>
            </w:pPr>
          </w:p>
        </w:tc>
        <w:tc>
          <w:tcPr>
            <w:tcW w:w="12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2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159,268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152,206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670,831</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592,690</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62,854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250,189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219,999</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35,520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28,728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128,327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98,568</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21,786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88,402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56,317</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15,291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13,574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53,391</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60,132</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25,951</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20,215</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300,170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274,804</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1,217,091</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1,047,921</w:t>
            </w:r>
          </w:p>
        </w:tc>
        <w:tc>
          <w:tcPr>
            <w:tcW w:w="0" w:type="dxa"/>
            <w:vAlign w:val="bottom"/>
          </w:tcPr>
          <w:p>
            <w:pPr>
              <w:spacing w:after="0"/>
              <w:rPr>
                <w:sz w:val="1"/>
                <w:szCs w:val="1"/>
                <w:color w:val="auto"/>
              </w:rPr>
            </w:pP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221,013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188,540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835,338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678,028</w:t>
            </w:r>
          </w:p>
        </w:tc>
        <w:tc>
          <w:tcPr>
            <w:tcW w:w="0" w:type="dxa"/>
            <w:vAlign w:val="bottom"/>
          </w:tcPr>
          <w:p>
            <w:pPr>
              <w:spacing w:after="0"/>
              <w:rPr>
                <w:sz w:val="1"/>
                <w:szCs w:val="1"/>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80" w:type="dxa"/>
            <w:vAlign w:val="bottom"/>
            <w:shd w:val="clear" w:color="auto" w:fill="DBDBDB"/>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9,786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8,600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9,786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68,407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74,037</w:t>
            </w: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(1,941)</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Other income (loss), net</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207,078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263,384</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39"/>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80" w:type="dxa"/>
            <w:vAlign w:val="bottom"/>
            <w:shd w:val="clear" w:color="auto" w:fill="D5DCE4"/>
          </w:tcPr>
          <w:p>
            <w:pPr>
              <w:spacing w:after="0"/>
              <w:rPr>
                <w:sz w:val="20"/>
                <w:szCs w:val="20"/>
                <w:color w:val="auto"/>
              </w:rPr>
            </w:pPr>
          </w:p>
        </w:tc>
        <w:tc>
          <w:tcPr>
            <w:tcW w:w="260" w:type="dxa"/>
            <w:vAlign w:val="bottom"/>
            <w:tcBorders>
              <w:bottom w:val="single" w:sz="8" w:color="auto"/>
            </w:tcBorders>
            <w:shd w:val="clear" w:color="auto" w:fill="D5DCE4"/>
          </w:tcPr>
          <w:p>
            <w:pPr>
              <w:spacing w:after="0"/>
              <w:rPr>
                <w:sz w:val="20"/>
                <w:szCs w:val="20"/>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456,712</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210,246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1,174,974</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754,402</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(253,474)</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(184,439)</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367,124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159,942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921,500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569,963</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42,132</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17,732</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108,708</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68,456</w:t>
            </w:r>
          </w:p>
        </w:tc>
        <w:tc>
          <w:tcPr>
            <w:tcW w:w="0" w:type="dxa"/>
            <w:vAlign w:val="bottom"/>
          </w:tcPr>
          <w:p>
            <w:pPr>
              <w:spacing w:after="0"/>
              <w:rPr>
                <w:sz w:val="1"/>
                <w:szCs w:val="1"/>
                <w:color w:val="auto"/>
              </w:rPr>
            </w:pPr>
          </w:p>
        </w:tc>
      </w:tr>
      <w:tr>
        <w:trPr>
          <w:trHeight w:val="26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324,992</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142,210</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812,792</w:t>
            </w:r>
          </w:p>
        </w:tc>
        <w:tc>
          <w:tcPr>
            <w:tcW w:w="80" w:type="dxa"/>
            <w:vAlign w:val="bottom"/>
            <w:shd w:val="clear" w:color="auto" w:fill="D5DCE4"/>
          </w:tcPr>
          <w:p>
            <w:pPr>
              <w:spacing w:after="0"/>
              <w:rPr>
                <w:sz w:val="22"/>
                <w:szCs w:val="22"/>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501,507</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2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80" w:type="dxa"/>
            <w:vAlign w:val="bottom"/>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124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0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D5DCE4"/>
          </w:tcPr>
          <w:p>
            <w:pPr>
              <w:spacing w:after="0"/>
              <w:rPr>
                <w:sz w:val="22"/>
                <w:szCs w:val="22"/>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D5DCE4"/>
          </w:tcPr>
          <w:p>
            <w:pPr>
              <w:spacing w:after="0"/>
              <w:rPr>
                <w:sz w:val="22"/>
                <w:szCs w:val="22"/>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213,065,776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213,039,958</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213,213,371</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213,030,056</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214,740,747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214,898,240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214,924,763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71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300" w:type="dxa"/>
            <w:vAlign w:val="bottom"/>
            <w:gridSpan w:val="4"/>
          </w:tcPr>
          <w:p>
            <w:pPr>
              <w:ind w:left="500"/>
              <w:spacing w:after="0"/>
              <w:rPr>
                <w:sz w:val="20"/>
                <w:szCs w:val="20"/>
                <w:color w:val="auto"/>
              </w:rPr>
            </w:pPr>
            <w:r>
              <w:rPr>
                <w:rFonts w:ascii="Arial" w:cs="Arial" w:eastAsia="Arial" w:hAnsi="Arial"/>
                <w:sz w:val="16"/>
                <w:szCs w:val="16"/>
                <w:b w:val="1"/>
                <w:bCs w:val="1"/>
                <w:color w:val="auto"/>
              </w:rPr>
              <w:t>Quarter Ended December 31,</w:t>
            </w:r>
          </w:p>
        </w:tc>
        <w:tc>
          <w:tcPr>
            <w:tcW w:w="3220" w:type="dxa"/>
            <w:vAlign w:val="bottom"/>
            <w:gridSpan w:val="3"/>
          </w:tcPr>
          <w:p>
            <w:pPr>
              <w:ind w:left="620"/>
              <w:spacing w:after="0"/>
              <w:rPr>
                <w:sz w:val="20"/>
                <w:szCs w:val="20"/>
                <w:color w:val="auto"/>
              </w:rPr>
            </w:pPr>
            <w:r>
              <w:rPr>
                <w:rFonts w:ascii="Arial" w:cs="Arial" w:eastAsia="Arial" w:hAnsi="Arial"/>
                <w:sz w:val="16"/>
                <w:szCs w:val="16"/>
                <w:b w:val="1"/>
                <w:bCs w:val="1"/>
                <w:color w:val="auto"/>
              </w:rPr>
              <w:t>Year Ended December 31,</w:t>
            </w:r>
          </w:p>
        </w:tc>
      </w:tr>
      <w:tr>
        <w:trPr>
          <w:trHeight w:val="318"/>
        </w:trPr>
        <w:tc>
          <w:tcPr>
            <w:tcW w:w="15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15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73"/>
        </w:trPr>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4"/>
          </w:tcPr>
          <w:p>
            <w:pPr>
              <w:ind w:left="780"/>
              <w:spacing w:after="0"/>
              <w:rPr>
                <w:sz w:val="20"/>
                <w:szCs w:val="20"/>
                <w:color w:val="auto"/>
              </w:rPr>
            </w:pPr>
            <w:r>
              <w:rPr>
                <w:rFonts w:ascii="Arial" w:cs="Arial" w:eastAsia="Arial" w:hAnsi="Arial"/>
                <w:sz w:val="16"/>
                <w:szCs w:val="16"/>
                <w:b w:val="1"/>
                <w:bCs w:val="1"/>
                <w:color w:val="auto"/>
              </w:rPr>
              <w:t>(dollars in thousands)</w:t>
            </w:r>
          </w:p>
        </w:tc>
        <w:tc>
          <w:tcPr>
            <w:tcW w:w="156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4220" w:space="500"/>
            <w:col w:w="652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367,124</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159,942</w:t>
            </w:r>
          </w:p>
        </w:tc>
        <w:tc>
          <w:tcPr>
            <w:tcW w:w="80" w:type="dxa"/>
            <w:vAlign w:val="bottom"/>
            <w:shd w:val="clear" w:color="auto" w:fill="D5DCE4"/>
          </w:tcPr>
          <w:p>
            <w:pPr>
              <w:spacing w:after="0"/>
              <w:rPr>
                <w:sz w:val="20"/>
                <w:szCs w:val="20"/>
                <w:color w:val="auto"/>
              </w:rPr>
            </w:pP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921,500</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569,963</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6,891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22,823</w:t>
            </w:r>
          </w:p>
        </w:tc>
        <w:tc>
          <w:tcPr>
            <w:tcW w:w="0" w:type="dxa"/>
            <w:vAlign w:val="bottom"/>
          </w:tcPr>
          <w:p>
            <w:pPr>
              <w:spacing w:after="0"/>
              <w:rPr>
                <w:sz w:val="1"/>
                <w:szCs w:val="1"/>
                <w:color w:val="auto"/>
              </w:rPr>
            </w:pPr>
          </w:p>
        </w:tc>
      </w:tr>
      <w:tr>
        <w:trPr>
          <w:trHeight w:val="243"/>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(19,238)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(14,803)</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(68,407)</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(74,037)</w:t>
            </w:r>
          </w:p>
        </w:tc>
        <w:tc>
          <w:tcPr>
            <w:tcW w:w="0" w:type="dxa"/>
            <w:vAlign w:val="bottom"/>
          </w:tcPr>
          <w:p>
            <w:pPr>
              <w:spacing w:after="0"/>
              <w:rPr>
                <w:sz w:val="1"/>
                <w:szCs w:val="1"/>
                <w:color w:val="auto"/>
              </w:rPr>
            </w:pPr>
          </w:p>
        </w:tc>
      </w:tr>
      <w:tr>
        <w:trPr>
          <w:trHeight w:val="235"/>
        </w:trPr>
        <w:tc>
          <w:tcPr>
            <w:tcW w:w="4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1,941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51"/>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60,091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62,854</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250,189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219,999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2,327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43"/>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89,588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50,304</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253,474</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184,439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0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(4,467)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(8,423)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13,112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(6,326)</w:t>
            </w:r>
          </w:p>
        </w:tc>
        <w:tc>
          <w:tcPr>
            <w:tcW w:w="0" w:type="dxa"/>
            <w:vAlign w:val="bottom"/>
          </w:tcPr>
          <w:p>
            <w:pPr>
              <w:spacing w:after="0"/>
              <w:rPr>
                <w:sz w:val="1"/>
                <w:szCs w:val="1"/>
                <w:color w:val="auto"/>
              </w:rPr>
            </w:pPr>
          </w:p>
        </w:tc>
      </w:tr>
      <w:tr>
        <w:trPr>
          <w:trHeight w:val="243"/>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(9,786)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(8,600)</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(9,786)</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Other (income) loss, net</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(207,078)</w:t>
            </w:r>
          </w:p>
        </w:tc>
        <w:tc>
          <w:tcPr>
            <w:tcW w:w="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1,124</w:t>
            </w:r>
          </w:p>
        </w:tc>
        <w:tc>
          <w:tcPr>
            <w:tcW w:w="80" w:type="dxa"/>
            <w:vAlign w:val="bottom"/>
            <w:tcBorders>
              <w:bottom w:val="single" w:sz="8" w:color="D5DCE4"/>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(263,384)</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277,319</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244,743</w:t>
            </w: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auto"/>
            </w:tcBorders>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1,107,857</w:t>
            </w:r>
          </w:p>
        </w:tc>
        <w:tc>
          <w:tcPr>
            <w:tcW w:w="80" w:type="dxa"/>
            <w:vAlign w:val="bottom"/>
            <w:tcBorders>
              <w:bottom w:val="single" w:sz="8" w:color="D5DCE4"/>
            </w:tcBorders>
            <w:shd w:val="clear" w:color="auto" w:fill="D5DCE4"/>
          </w:tcPr>
          <w:p>
            <w:pPr>
              <w:spacing w:after="0"/>
              <w:rPr>
                <w:sz w:val="22"/>
                <w:szCs w:val="22"/>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920,620</w:t>
            </w:r>
          </w:p>
        </w:tc>
        <w:tc>
          <w:tcPr>
            <w:tcW w:w="0" w:type="dxa"/>
            <w:vAlign w:val="bottom"/>
          </w:tcPr>
          <w:p>
            <w:pPr>
              <w:spacing w:after="0"/>
              <w:rPr>
                <w:sz w:val="1"/>
                <w:szCs w:val="1"/>
                <w:color w:val="auto"/>
              </w:rPr>
            </w:pPr>
          </w:p>
        </w:tc>
      </w:tr>
      <w:tr>
        <w:trPr>
          <w:trHeight w:val="20"/>
        </w:trPr>
        <w:tc>
          <w:tcPr>
            <w:tcW w:w="472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(60,091)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(62,854)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(250,189)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(219,999)</w:t>
            </w:r>
          </w:p>
        </w:tc>
        <w:tc>
          <w:tcPr>
            <w:tcW w:w="0" w:type="dxa"/>
            <w:vAlign w:val="bottom"/>
          </w:tcPr>
          <w:p>
            <w:pPr>
              <w:spacing w:after="0"/>
              <w:rPr>
                <w:sz w:val="1"/>
                <w:szCs w:val="1"/>
                <w:color w:val="auto"/>
              </w:rPr>
            </w:pPr>
          </w:p>
        </w:tc>
      </w:tr>
      <w:tr>
        <w:trPr>
          <w:trHeight w:val="183"/>
        </w:trPr>
        <w:tc>
          <w:tcPr>
            <w:tcW w:w="472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400" w:type="dxa"/>
            <w:vAlign w:val="bottom"/>
            <w:shd w:val="clear" w:color="auto" w:fill="D5DCE4"/>
          </w:tcPr>
          <w:p>
            <w:pPr>
              <w:spacing w:after="0"/>
              <w:rPr>
                <w:sz w:val="15"/>
                <w:szCs w:val="15"/>
                <w:color w:val="auto"/>
              </w:rPr>
            </w:pPr>
          </w:p>
        </w:tc>
        <w:tc>
          <w:tcPr>
            <w:tcW w:w="116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39,901</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40" w:type="dxa"/>
            <w:vAlign w:val="bottom"/>
            <w:vMerge w:val="restart"/>
            <w:shd w:val="clear" w:color="auto" w:fill="D5DCE4"/>
          </w:tcPr>
          <w:p>
            <w:pPr>
              <w:jc w:val="right"/>
              <w:ind w:right="139"/>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15"/>
                <w:szCs w:val="15"/>
                <w:color w:val="auto"/>
              </w:rPr>
            </w:pPr>
          </w:p>
        </w:tc>
        <w:tc>
          <w:tcPr>
            <w:tcW w:w="380" w:type="dxa"/>
            <w:vAlign w:val="bottom"/>
            <w:shd w:val="clear" w:color="auto" w:fill="D5DCE4"/>
          </w:tcPr>
          <w:p>
            <w:pPr>
              <w:spacing w:after="0"/>
              <w:rPr>
                <w:sz w:val="15"/>
                <w:szCs w:val="15"/>
                <w:color w:val="auto"/>
              </w:rPr>
            </w:pPr>
          </w:p>
        </w:tc>
        <w:tc>
          <w:tcPr>
            <w:tcW w:w="1200" w:type="dxa"/>
            <w:vAlign w:val="bottom"/>
            <w:vMerge w:val="restart"/>
            <w:shd w:val="clear" w:color="auto" w:fill="D5DCE4"/>
          </w:tcPr>
          <w:p>
            <w:pPr>
              <w:jc w:val="right"/>
              <w:ind w:right="139"/>
              <w:spacing w:after="0"/>
              <w:rPr>
                <w:sz w:val="20"/>
                <w:szCs w:val="20"/>
                <w:color w:val="auto"/>
              </w:rPr>
            </w:pPr>
            <w:r>
              <w:rPr>
                <w:rFonts w:ascii="Arial" w:cs="Arial" w:eastAsia="Arial" w:hAnsi="Arial"/>
                <w:sz w:val="16"/>
                <w:szCs w:val="16"/>
                <w:color w:val="auto"/>
              </w:rPr>
              <w:t>176,322</w:t>
            </w:r>
          </w:p>
        </w:tc>
        <w:tc>
          <w:tcPr>
            <w:tcW w:w="80" w:type="dxa"/>
            <w:vAlign w:val="bottom"/>
            <w:shd w:val="clear" w:color="auto" w:fill="D5DCE4"/>
          </w:tcPr>
          <w:p>
            <w:pPr>
              <w:spacing w:after="0"/>
              <w:rPr>
                <w:sz w:val="15"/>
                <w:szCs w:val="15"/>
                <w:color w:val="auto"/>
              </w:rPr>
            </w:pPr>
          </w:p>
        </w:tc>
        <w:tc>
          <w:tcPr>
            <w:tcW w:w="400" w:type="dxa"/>
            <w:vAlign w:val="bottom"/>
            <w:shd w:val="clear" w:color="auto" w:fill="D5DCE4"/>
          </w:tcPr>
          <w:p>
            <w:pPr>
              <w:spacing w:after="0"/>
              <w:rPr>
                <w:sz w:val="15"/>
                <w:szCs w:val="15"/>
                <w:color w:val="auto"/>
              </w:rPr>
            </w:pPr>
          </w:p>
        </w:tc>
        <w:tc>
          <w:tcPr>
            <w:tcW w:w="116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156,489</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400" w:type="dxa"/>
            <w:vAlign w:val="bottom"/>
            <w:tcBorders>
              <w:bottom w:val="single" w:sz="8" w:color="D5DCE4"/>
            </w:tcBorders>
            <w:shd w:val="clear" w:color="auto" w:fill="D5DCE4"/>
          </w:tcPr>
          <w:p>
            <w:pPr>
              <w:spacing w:after="0"/>
              <w:rPr>
                <w:sz w:val="17"/>
                <w:szCs w:val="17"/>
                <w:color w:val="auto"/>
              </w:rPr>
            </w:pPr>
          </w:p>
        </w:tc>
        <w:tc>
          <w:tcPr>
            <w:tcW w:w="116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4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80" w:type="dxa"/>
            <w:vAlign w:val="bottom"/>
            <w:tcBorders>
              <w:bottom w:val="single" w:sz="8" w:color="D5DCE4"/>
            </w:tcBorders>
            <w:shd w:val="clear" w:color="auto" w:fill="D5DCE4"/>
          </w:tcPr>
          <w:p>
            <w:pPr>
              <w:spacing w:after="0"/>
              <w:rPr>
                <w:sz w:val="17"/>
                <w:szCs w:val="17"/>
                <w:color w:val="auto"/>
              </w:rPr>
            </w:pPr>
          </w:p>
        </w:tc>
        <w:tc>
          <w:tcPr>
            <w:tcW w:w="120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00" w:type="dxa"/>
            <w:vAlign w:val="bottom"/>
            <w:tcBorders>
              <w:bottom w:val="single" w:sz="8" w:color="D5DCE4"/>
            </w:tcBorders>
            <w:shd w:val="clear" w:color="auto" w:fill="D5DCE4"/>
          </w:tcPr>
          <w:p>
            <w:pPr>
              <w:spacing w:after="0"/>
              <w:rPr>
                <w:sz w:val="17"/>
                <w:szCs w:val="17"/>
                <w:color w:val="auto"/>
              </w:rPr>
            </w:pPr>
          </w:p>
        </w:tc>
        <w:tc>
          <w:tcPr>
            <w:tcW w:w="116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257,129</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227,347</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1,033,990</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857,110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2960" w:type="dxa"/>
            <w:vAlign w:val="bottom"/>
          </w:tcPr>
          <w:p>
            <w:pPr>
              <w:jc w:val="right"/>
              <w:ind w:right="499"/>
              <w:spacing w:after="0"/>
              <w:rPr>
                <w:sz w:val="20"/>
                <w:szCs w:val="20"/>
                <w:color w:val="auto"/>
              </w:rPr>
            </w:pPr>
            <w:r>
              <w:rPr>
                <w:rFonts w:ascii="Arial" w:cs="Arial" w:eastAsia="Arial" w:hAnsi="Arial"/>
                <w:sz w:val="16"/>
                <w:szCs w:val="16"/>
                <w:color w:val="auto"/>
              </w:rPr>
              <w:t>70.4 %</w:t>
            </w:r>
          </w:p>
        </w:tc>
        <w:tc>
          <w:tcPr>
            <w:tcW w:w="1660" w:type="dxa"/>
            <w:vAlign w:val="bottom"/>
          </w:tcPr>
          <w:p>
            <w:pPr>
              <w:jc w:val="right"/>
              <w:ind w:right="499"/>
              <w:spacing w:after="0"/>
              <w:rPr>
                <w:sz w:val="20"/>
                <w:szCs w:val="20"/>
                <w:color w:val="auto"/>
              </w:rPr>
            </w:pPr>
            <w:r>
              <w:rPr>
                <w:rFonts w:ascii="Arial" w:cs="Arial" w:eastAsia="Arial" w:hAnsi="Arial"/>
                <w:sz w:val="16"/>
                <w:szCs w:val="16"/>
                <w:color w:val="auto"/>
              </w:rPr>
              <w:t>34.5 %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44.9 %</w:t>
            </w:r>
          </w:p>
        </w:tc>
        <w:tc>
          <w:tcPr>
            <w:tcW w:w="1100" w:type="dxa"/>
            <w:vAlign w:val="bottom"/>
          </w:tcPr>
          <w:p>
            <w:pPr>
              <w:jc w:val="right"/>
              <w:spacing w:after="0"/>
              <w:rPr>
                <w:sz w:val="20"/>
                <w:szCs w:val="20"/>
                <w:color w:val="auto"/>
              </w:rPr>
            </w:pPr>
            <w:r>
              <w:rPr>
                <w:rFonts w:ascii="Arial" w:cs="Arial" w:eastAsia="Arial" w:hAnsi="Arial"/>
                <w:sz w:val="16"/>
                <w:szCs w:val="16"/>
                <w:color w:val="auto"/>
              </w:rPr>
              <w:t>33.0 %</w:t>
            </w:r>
          </w:p>
        </w:tc>
      </w:tr>
      <w:tr>
        <w:trPr>
          <w:trHeight w:val="230"/>
        </w:trPr>
        <w:tc>
          <w:tcPr>
            <w:tcW w:w="38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2960" w:type="dxa"/>
            <w:vAlign w:val="bottom"/>
          </w:tcPr>
          <w:p>
            <w:pPr>
              <w:jc w:val="right"/>
              <w:ind w:right="499"/>
              <w:spacing w:after="0"/>
              <w:rPr>
                <w:sz w:val="20"/>
                <w:szCs w:val="20"/>
                <w:color w:val="auto"/>
              </w:rPr>
            </w:pPr>
            <w:r>
              <w:rPr>
                <w:rFonts w:ascii="Arial" w:cs="Arial" w:eastAsia="Arial" w:hAnsi="Arial"/>
                <w:sz w:val="16"/>
                <w:szCs w:val="16"/>
                <w:color w:val="auto"/>
              </w:rPr>
              <w:t>53.2 %</w:t>
            </w:r>
          </w:p>
        </w:tc>
        <w:tc>
          <w:tcPr>
            <w:tcW w:w="1660" w:type="dxa"/>
            <w:vAlign w:val="bottom"/>
          </w:tcPr>
          <w:p>
            <w:pPr>
              <w:jc w:val="right"/>
              <w:ind w:right="499"/>
              <w:spacing w:after="0"/>
              <w:rPr>
                <w:sz w:val="20"/>
                <w:szCs w:val="20"/>
                <w:color w:val="auto"/>
              </w:rPr>
            </w:pPr>
            <w:r>
              <w:rPr>
                <w:rFonts w:ascii="Arial" w:cs="Arial" w:eastAsia="Arial" w:hAnsi="Arial"/>
                <w:sz w:val="16"/>
                <w:szCs w:val="16"/>
                <w:color w:val="auto"/>
              </w:rPr>
              <w:t>52.8 %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54.0 %</w:t>
            </w:r>
          </w:p>
        </w:tc>
        <w:tc>
          <w:tcPr>
            <w:tcW w:w="1100" w:type="dxa"/>
            <w:vAlign w:val="bottom"/>
          </w:tcPr>
          <w:p>
            <w:pPr>
              <w:jc w:val="right"/>
              <w:spacing w:after="0"/>
              <w:rPr>
                <w:sz w:val="20"/>
                <w:szCs w:val="20"/>
                <w:color w:val="auto"/>
              </w:rPr>
            </w:pPr>
            <w:r>
              <w:rPr>
                <w:rFonts w:ascii="Arial" w:cs="Arial" w:eastAsia="Arial" w:hAnsi="Arial"/>
                <w:sz w:val="16"/>
                <w:szCs w:val="16"/>
                <w:color w:val="auto"/>
              </w:rPr>
              <w:t>53.3 %</w:t>
            </w:r>
          </w:p>
        </w:tc>
      </w:tr>
      <w:tr>
        <w:trPr>
          <w:trHeight w:val="243"/>
        </w:trPr>
        <w:tc>
          <w:tcPr>
            <w:tcW w:w="38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296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49.3 %</w:t>
            </w:r>
          </w:p>
        </w:tc>
        <w:tc>
          <w:tcPr>
            <w:tcW w:w="166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49.1 %</w:t>
            </w:r>
          </w:p>
        </w:tc>
        <w:tc>
          <w:tcPr>
            <w:tcW w:w="1640" w:type="dxa"/>
            <w:vAlign w:val="bottom"/>
            <w:shd w:val="clear" w:color="auto" w:fill="D5DCE4"/>
          </w:tcPr>
          <w:p>
            <w:pPr>
              <w:jc w:val="right"/>
              <w:ind w:right="479"/>
              <w:spacing w:after="0"/>
              <w:rPr>
                <w:sz w:val="20"/>
                <w:szCs w:val="20"/>
                <w:color w:val="auto"/>
              </w:rPr>
            </w:pPr>
            <w:r>
              <w:rPr>
                <w:rFonts w:ascii="Arial" w:cs="Arial" w:eastAsia="Arial" w:hAnsi="Arial"/>
                <w:sz w:val="16"/>
                <w:szCs w:val="16"/>
                <w:color w:val="auto"/>
              </w:rPr>
              <w:t>50.4 %</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49.7 %</w:t>
            </w:r>
          </w:p>
        </w:tc>
      </w:tr>
    </w:tbl>
    <w:p>
      <w:pPr>
        <w:spacing w:after="0" w:line="114" w:lineRule="exact"/>
        <w:rPr>
          <w:sz w:val="20"/>
          <w:szCs w:val="20"/>
          <w:color w:val="auto"/>
        </w:rPr>
      </w:pPr>
    </w:p>
    <w:p>
      <w:pPr>
        <w:ind w:left="440" w:right="40" w:hanging="414"/>
        <w:spacing w:after="0" w:line="181" w:lineRule="auto"/>
        <w:tabs>
          <w:tab w:leader="none" w:pos="440" w:val="left"/>
        </w:tabs>
        <w:numPr>
          <w:ilvl w:val="0"/>
          <w:numId w:val="11"/>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right="180" w:hanging="414"/>
        <w:spacing w:after="0" w:line="289"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quarters and years ended December 31, 2025 and 2024, this adjustment also includes $0.5 million, $2.3 million, $0.6 million and $1.0 million, respectively, of non-cash stock-based compensation expense and related payroll taxes associated with RSAs and RSUs issued to help retain key ICD employees during the integration of ICD. During the quarter ended and year ended December 31, 2024, this adjustment also includes none and $2.7 million, respectively, of non-cash accelerated stock-based compensation expense and related payroll taxes associated with our former President.</w:t>
      </w:r>
    </w:p>
    <w:p>
      <w:pPr>
        <w:spacing w:after="0" w:line="11" w:lineRule="exact"/>
        <w:rPr>
          <w:rFonts w:ascii="Arial" w:cs="Arial" w:eastAsia="Arial" w:hAnsi="Arial"/>
          <w:sz w:val="11"/>
          <w:szCs w:val="11"/>
          <w:color w:val="auto"/>
        </w:rPr>
      </w:pPr>
    </w:p>
    <w:p>
      <w:pPr>
        <w:ind w:left="440" w:right="460" w:hanging="414"/>
        <w:spacing w:after="0" w:line="282"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 w:lineRule="exact"/>
        <w:rPr>
          <w:rFonts w:ascii="Arial" w:cs="Arial" w:eastAsia="Arial" w:hAnsi="Arial"/>
          <w:sz w:val="12"/>
          <w:szCs w:val="12"/>
          <w:color w:val="auto"/>
        </w:rPr>
      </w:pPr>
    </w:p>
    <w:p>
      <w:pPr>
        <w:ind w:left="440" w:right="160" w:hanging="414"/>
        <w:spacing w:after="0" w:line="282"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13" w:lineRule="exact"/>
        <w:rPr>
          <w:rFonts w:ascii="Arial" w:cs="Arial" w:eastAsia="Arial" w:hAnsi="Arial"/>
          <w:sz w:val="12"/>
          <w:szCs w:val="12"/>
          <w:color w:val="auto"/>
        </w:rPr>
      </w:pPr>
    </w:p>
    <w:p>
      <w:pPr>
        <w:ind w:left="440" w:right="680" w:hanging="414"/>
        <w:spacing w:after="0" w:line="320"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80" w:type="dxa"/>
            <w:vAlign w:val="bottom"/>
          </w:tcPr>
          <w:p>
            <w:pPr>
              <w:spacing w:after="0"/>
              <w:rPr>
                <w:sz w:val="20"/>
                <w:szCs w:val="20"/>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20"/>
                <w:szCs w:val="20"/>
                <w:color w:val="auto"/>
              </w:rPr>
            </w:pPr>
          </w:p>
        </w:tc>
        <w:tc>
          <w:tcPr>
            <w:tcW w:w="27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3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77"/>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9"/>
          </w:tcPr>
          <w:p>
            <w:pPr>
              <w:jc w:val="right"/>
              <w:ind w:right="7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080" w:type="dxa"/>
            <w:vAlign w:val="bottom"/>
          </w:tcPr>
          <w:p>
            <w:pPr>
              <w:spacing w:after="0"/>
              <w:rPr>
                <w:sz w:val="24"/>
                <w:szCs w:val="24"/>
                <w:color w:val="auto"/>
              </w:rPr>
            </w:pPr>
          </w:p>
        </w:tc>
      </w:tr>
      <w:tr>
        <w:trPr>
          <w:trHeight w:val="272"/>
        </w:trPr>
        <w:tc>
          <w:tcPr>
            <w:tcW w:w="49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D5DCE4"/>
            </w:tcBorders>
            <w:shd w:val="clear" w:color="auto" w:fill="D5DCE4"/>
          </w:tcPr>
          <w:p>
            <w:pPr>
              <w:spacing w:after="0"/>
              <w:rPr>
                <w:sz w:val="23"/>
                <w:szCs w:val="23"/>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tcBorders>
              <w:bottom w:val="single" w:sz="8" w:color="D5DCE4"/>
            </w:tcBorders>
            <w:shd w:val="clear" w:color="auto" w:fill="D5DCE4"/>
          </w:tcPr>
          <w:p>
            <w:pPr>
              <w:spacing w:after="0"/>
              <w:rPr>
                <w:sz w:val="23"/>
                <w:szCs w:val="23"/>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3.78</w:t>
            </w:r>
          </w:p>
        </w:tc>
        <w:tc>
          <w:tcPr>
            <w:tcW w:w="80" w:type="dxa"/>
            <w:vAlign w:val="bottom"/>
            <w:tcBorders>
              <w:bottom w:val="single" w:sz="8" w:color="D5DCE4"/>
            </w:tcBorders>
            <w:shd w:val="clear" w:color="auto" w:fill="D5DCE4"/>
          </w:tcPr>
          <w:p>
            <w:pPr>
              <w:spacing w:after="0"/>
              <w:rPr>
                <w:sz w:val="23"/>
                <w:szCs w:val="23"/>
                <w:color w:val="auto"/>
              </w:rPr>
            </w:pPr>
          </w:p>
        </w:tc>
        <w:tc>
          <w:tcPr>
            <w:tcW w:w="42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w:t>
            </w: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324,992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142,210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812,792</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501,507</w:t>
            </w:r>
          </w:p>
        </w:tc>
      </w:tr>
      <w:tr>
        <w:trPr>
          <w:trHeight w:val="251"/>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42,132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17,732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108,708</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68,456</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367,124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159,942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921,500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569,963</w:t>
            </w:r>
          </w:p>
        </w:tc>
      </w:tr>
      <w:tr>
        <w:trPr>
          <w:trHeight w:val="251"/>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89,588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50,304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253,474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184,439</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6,891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22,823</w:t>
            </w:r>
          </w:p>
        </w:tc>
      </w:tr>
      <w:tr>
        <w:trPr>
          <w:trHeight w:val="243"/>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176,322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156,489</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6,096</w:t>
            </w:r>
          </w:p>
        </w:tc>
      </w:tr>
      <w:tr>
        <w:trPr>
          <w:trHeight w:val="243"/>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(4,467)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(8,423)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13,112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(6,326)</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(9,786)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(7,730)</w:t>
            </w:r>
          </w:p>
        </w:tc>
      </w:tr>
      <w:tr>
        <w:trPr>
          <w:trHeight w:val="243"/>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(207,078)</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1,124</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(263,384)</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1,114</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241,577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1,100,456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926,868</w:t>
            </w:r>
          </w:p>
        </w:tc>
      </w:tr>
      <w:tr>
        <w:trPr>
          <w:trHeight w:val="251"/>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(68,991)</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(60,394)</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(275,114)</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(231,717)</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206,973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181,183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825,342</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695,151</w:t>
            </w: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8"/>
        </w:trPr>
        <w:tc>
          <w:tcPr>
            <w:tcW w:w="49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0.87</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0.76</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3.47</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type w:val="continuous"/>
        </w:sectPr>
      </w:pPr>
    </w:p>
    <w:p>
      <w:pPr>
        <w:spacing w:after="0" w:line="22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692" w:right="339" w:bottom="1440" w:gutter="0" w:footer="0" w:header="0"/>
          <w:type w:val="continuous"/>
        </w:sectPr>
      </w:pPr>
    </w:p>
    <w:bookmarkStart w:id="9" w:name="page10"/>
    <w:bookmarkEnd w:id="9"/>
    <w:p>
      <w:pPr>
        <w:ind w:left="440" w:right="10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40" w:lineRule="exact"/>
        <w:rPr>
          <w:rFonts w:ascii="Arial" w:cs="Arial" w:eastAsia="Arial" w:hAnsi="Arial"/>
          <w:sz w:val="12"/>
          <w:szCs w:val="12"/>
          <w:color w:val="auto"/>
        </w:rPr>
      </w:pPr>
    </w:p>
    <w:p>
      <w:pPr>
        <w:ind w:left="440" w:right="4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40" w:lineRule="exact"/>
        <w:rPr>
          <w:rFonts w:ascii="Arial" w:cs="Arial" w:eastAsia="Arial" w:hAnsi="Arial"/>
          <w:sz w:val="12"/>
          <w:szCs w:val="12"/>
          <w:color w:val="auto"/>
        </w:rPr>
      </w:pPr>
    </w:p>
    <w:p>
      <w:pPr>
        <w:ind w:left="440" w:right="680" w:hanging="414"/>
        <w:spacing w:after="0" w:line="304"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right="180" w:hanging="414"/>
        <w:spacing w:after="0" w:line="280"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quarters and years ended December 31, 2025 and 2024, this adjustment also includes $0.5 million, $2.3 million, $0.6 million and $1.0 million, respectively, of non-cash stock-based compensation expense and related payroll taxes associated with RSAs and RSUs issued to help retain key ICD employees during the integration of ICD. During the quarter ended and year ended December 31, 2024, this adjustment also includes none and $2.7 million, respectively, of non-cash accelerated stock-based compensation expense and related payroll taxes associated with our former President.</w:t>
      </w:r>
    </w:p>
    <w:p>
      <w:pPr>
        <w:spacing w:after="0" w:line="30" w:lineRule="exact"/>
        <w:rPr>
          <w:rFonts w:ascii="Arial" w:cs="Arial" w:eastAsia="Arial" w:hAnsi="Arial"/>
          <w:sz w:val="11"/>
          <w:szCs w:val="11"/>
          <w:color w:val="auto"/>
        </w:rPr>
      </w:pPr>
    </w:p>
    <w:p>
      <w:pPr>
        <w:ind w:left="440" w:right="46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40" w:lineRule="exact"/>
        <w:rPr>
          <w:rFonts w:ascii="Arial" w:cs="Arial" w:eastAsia="Arial" w:hAnsi="Arial"/>
          <w:sz w:val="12"/>
          <w:szCs w:val="12"/>
          <w:color w:val="auto"/>
        </w:rPr>
      </w:pPr>
    </w:p>
    <w:p>
      <w:pPr>
        <w:ind w:left="440" w:right="16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27" w:lineRule="exact"/>
        <w:rPr>
          <w:rFonts w:ascii="Arial" w:cs="Arial" w:eastAsia="Arial" w:hAnsi="Arial"/>
          <w:sz w:val="12"/>
          <w:szCs w:val="12"/>
          <w:color w:val="auto"/>
        </w:rPr>
      </w:pPr>
    </w:p>
    <w:p>
      <w:pPr>
        <w:ind w:left="440" w:hanging="414"/>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25.0% applied to Adjusted Net Income before income taxes for the quarters and years ended December 31, 2025 and 2024.</w:t>
      </w:r>
    </w:p>
    <w:p>
      <w:pPr>
        <w:spacing w:after="0" w:line="64"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Diluted Weighted Average Shares</w:t>
            </w:r>
          </w:p>
        </w:tc>
        <w:tc>
          <w:tcPr>
            <w:tcW w:w="280" w:type="dxa"/>
            <w:vAlign w:val="bottom"/>
          </w:tcPr>
          <w:p>
            <w:pPr>
              <w:spacing w:after="0"/>
              <w:rPr>
                <w:sz w:val="17"/>
                <w:szCs w:val="17"/>
                <w:color w:val="auto"/>
              </w:rPr>
            </w:pPr>
          </w:p>
        </w:tc>
        <w:tc>
          <w:tcPr>
            <w:tcW w:w="290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7"/>
                <w:szCs w:val="17"/>
                <w:color w:val="auto"/>
              </w:rPr>
            </w:pPr>
          </w:p>
        </w:tc>
        <w:tc>
          <w:tcPr>
            <w:tcW w:w="27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91"/>
        </w:trPr>
        <w:tc>
          <w:tcPr>
            <w:tcW w:w="4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Outstanding to Adjusted Diluted Weighted Average Shares</w:t>
            </w:r>
          </w:p>
        </w:tc>
        <w:tc>
          <w:tcPr>
            <w:tcW w:w="280" w:type="dxa"/>
            <w:vAlign w:val="bottom"/>
          </w:tcPr>
          <w:p>
            <w:pPr>
              <w:spacing w:after="0"/>
              <w:rPr>
                <w:sz w:val="7"/>
                <w:szCs w:val="7"/>
                <w:color w:val="auto"/>
              </w:rPr>
            </w:pPr>
          </w:p>
        </w:tc>
        <w:tc>
          <w:tcPr>
            <w:tcW w:w="290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960" w:type="dxa"/>
            <w:vAlign w:val="bottom"/>
            <w:gridSpan w:val="2"/>
            <w:vMerge w:val="continue"/>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and Adjusted Diluted EPS</w:t>
            </w:r>
          </w:p>
        </w:tc>
        <w:tc>
          <w:tcPr>
            <w:tcW w:w="80" w:type="dxa"/>
            <w:vAlign w:val="bottom"/>
            <w:tcBorders>
              <w:bottom w:val="single" w:sz="8" w:color="D5DCE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shares of Class A and Class B common</w:t>
            </w:r>
          </w:p>
        </w:tc>
        <w:tc>
          <w:tcPr>
            <w:tcW w:w="280" w:type="dxa"/>
            <w:vAlign w:val="bottom"/>
            <w:shd w:val="clear" w:color="auto" w:fill="D5DCE4"/>
          </w:tcPr>
          <w:p>
            <w:pPr>
              <w:spacing w:after="0"/>
              <w:rPr>
                <w:sz w:val="18"/>
                <w:szCs w:val="18"/>
                <w:color w:val="auto"/>
              </w:rPr>
            </w:pPr>
          </w:p>
        </w:tc>
        <w:tc>
          <w:tcPr>
            <w:tcW w:w="12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stock outstanding</w:t>
            </w:r>
          </w:p>
        </w:tc>
        <w:tc>
          <w:tcPr>
            <w:tcW w:w="28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214,740,747</w:t>
            </w: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214,898,240</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214,924,763</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170,479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249,907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167,018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165,565</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Assumed exchange of LLC Interests for shares of Class A or Class</w:t>
            </w:r>
          </w:p>
        </w:tc>
        <w:tc>
          <w:tcPr>
            <w:tcW w:w="280" w:type="dxa"/>
            <w:vAlign w:val="bottom"/>
            <w:shd w:val="clear" w:color="auto" w:fill="D5DCE4"/>
          </w:tcPr>
          <w:p>
            <w:pPr>
              <w:spacing w:after="0"/>
              <w:rPr>
                <w:sz w:val="17"/>
                <w:szCs w:val="17"/>
                <w:color w:val="auto"/>
              </w:rPr>
            </w:pPr>
          </w:p>
        </w:tc>
        <w:tc>
          <w:tcPr>
            <w:tcW w:w="122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20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18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40" w:type="dxa"/>
            <w:vAlign w:val="bottom"/>
            <w:shd w:val="clear" w:color="auto" w:fill="D5DCE4"/>
          </w:tcPr>
          <w:p>
            <w:pPr>
              <w:spacing w:after="0"/>
              <w:rPr>
                <w:sz w:val="17"/>
                <w:szCs w:val="17"/>
                <w:color w:val="auto"/>
              </w:rPr>
            </w:pPr>
          </w:p>
        </w:tc>
        <w:tc>
          <w:tcPr>
            <w:tcW w:w="118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60" w:type="dxa"/>
            <w:vAlign w:val="bottom"/>
            <w:gridSpan w:val="2"/>
            <w:shd w:val="clear" w:color="auto" w:fill="D5DCE4"/>
          </w:tcPr>
          <w:p>
            <w:pPr>
              <w:ind w:left="20"/>
              <w:spacing w:after="0" w:line="240" w:lineRule="exact"/>
              <w:rPr>
                <w:sz w:val="20"/>
                <w:szCs w:val="20"/>
                <w:color w:val="auto"/>
              </w:rPr>
            </w:pPr>
            <w:r>
              <w:rPr>
                <w:rFonts w:ascii="Arial" w:cs="Arial" w:eastAsia="Arial" w:hAnsi="Arial"/>
                <w:sz w:val="16"/>
                <w:szCs w:val="16"/>
                <w:color w:val="auto"/>
              </w:rPr>
              <w:t xml:space="preserve">B common stock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23,057,090</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23,073,616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23,063,110</w:t>
            </w:r>
          </w:p>
        </w:tc>
        <w:tc>
          <w:tcPr>
            <w:tcW w:w="80" w:type="dxa"/>
            <w:vAlign w:val="bottom"/>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23,076,373</w:t>
            </w:r>
          </w:p>
        </w:tc>
        <w:tc>
          <w:tcPr>
            <w:tcW w:w="0" w:type="dxa"/>
            <w:vAlign w:val="bottom"/>
          </w:tcPr>
          <w:p>
            <w:pPr>
              <w:spacing w:after="0"/>
              <w:rPr>
                <w:sz w:val="1"/>
                <w:szCs w:val="1"/>
                <w:color w:val="auto"/>
              </w:rPr>
            </w:pPr>
          </w:p>
        </w:tc>
      </w:tr>
      <w:tr>
        <w:trPr>
          <w:trHeight w:val="23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237,968,316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238,366,875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238,128,368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238,166,701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6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206,973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181,183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825,342</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695,151</w:t>
            </w:r>
          </w:p>
        </w:tc>
        <w:tc>
          <w:tcPr>
            <w:tcW w:w="0" w:type="dxa"/>
            <w:vAlign w:val="bottom"/>
          </w:tcPr>
          <w:p>
            <w:pPr>
              <w:spacing w:after="0"/>
              <w:rPr>
                <w:sz w:val="1"/>
                <w:szCs w:val="1"/>
                <w:color w:val="auto"/>
              </w:rPr>
            </w:pPr>
          </w:p>
        </w:tc>
      </w:tr>
      <w:tr>
        <w:trPr>
          <w:trHeight w:val="20"/>
        </w:trPr>
        <w:tc>
          <w:tcPr>
            <w:tcW w:w="4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40" w:right="200" w:hanging="414"/>
        <w:spacing w:after="0" w:line="181" w:lineRule="auto"/>
        <w:tabs>
          <w:tab w:leader="none" w:pos="440" w:val="left"/>
        </w:tabs>
        <w:numPr>
          <w:ilvl w:val="0"/>
          <w:numId w:val="13"/>
        </w:numPr>
        <w:rPr>
          <w:rFonts w:ascii="Arial" w:cs="Arial" w:eastAsia="Arial" w:hAnsi="Arial"/>
          <w:sz w:val="22"/>
          <w:szCs w:val="22"/>
          <w:color w:val="auto"/>
          <w:vertAlign w:val="subscript"/>
        </w:rPr>
      </w:pPr>
      <w:r>
        <w:rPr>
          <w:rFonts w:ascii="Arial" w:cs="Arial" w:eastAsia="Arial" w:hAnsi="Arial"/>
          <w:sz w:val="11"/>
          <w:szCs w:val="11"/>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51" w:lineRule="exact"/>
        <w:rPr>
          <w:rFonts w:ascii="Arial" w:cs="Arial" w:eastAsia="Arial" w:hAnsi="Arial"/>
          <w:sz w:val="22"/>
          <w:szCs w:val="22"/>
          <w:color w:val="auto"/>
          <w:vertAlign w:val="subscript"/>
        </w:rPr>
      </w:pPr>
    </w:p>
    <w:p>
      <w:pPr>
        <w:ind w:left="440" w:right="320" w:hanging="414"/>
        <w:spacing w:after="0" w:line="258"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9"/>
                <w:szCs w:val="19"/>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3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77"/>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34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7"/>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300,170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274,804</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1,217,091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1,047,921</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(22,823)</w:t>
            </w:r>
          </w:p>
        </w:tc>
      </w:tr>
      <w:tr>
        <w:trPr>
          <w:trHeight w:val="243"/>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(45,458)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(176,322)</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(156,489)</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(6,096)</w:t>
            </w:r>
          </w:p>
        </w:tc>
      </w:tr>
      <w:tr>
        <w:trPr>
          <w:trHeight w:val="243"/>
        </w:trPr>
        <w:tc>
          <w:tcPr>
            <w:tcW w:w="5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4,467</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8,423</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(13,112)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6,326</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264,054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235,997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1,018,439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868,839</w:t>
            </w: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40" w:right="40" w:hanging="414"/>
        <w:spacing w:after="0" w:line="189" w:lineRule="auto"/>
        <w:tabs>
          <w:tab w:leader="none" w:pos="440" w:val="left"/>
        </w:tabs>
        <w:numPr>
          <w:ilvl w:val="0"/>
          <w:numId w:val="14"/>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8" w:lineRule="exact"/>
        <w:rPr>
          <w:rFonts w:ascii="Arial" w:cs="Arial" w:eastAsia="Arial" w:hAnsi="Arial"/>
          <w:sz w:val="22"/>
          <w:szCs w:val="22"/>
          <w:color w:val="auto"/>
          <w:vertAlign w:val="subscript"/>
        </w:rPr>
      </w:pPr>
    </w:p>
    <w:p>
      <w:pPr>
        <w:ind w:left="440" w:right="680" w:hanging="414"/>
        <w:spacing w:after="0" w:line="320" w:lineRule="auto"/>
        <w:tabs>
          <w:tab w:leader="none" w:pos="4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180" w:hanging="414"/>
        <w:spacing w:after="0" w:line="289" w:lineRule="auto"/>
        <w:tabs>
          <w:tab w:leader="none" w:pos="4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quarters and years ended December 31, 2025 and 2024, this adjustment also includes $0.5 million, $2.3 million, $0.6 million and $1.0 million, respectively, of non-cash stock-based compensation expense and related payroll taxes associated with RSAs and RSUs issued to help retain key ICD employees during the integration of ICD. During the quarter ended and year ended December 31, 2024, this adjustment also includes none and $2.7 million, respectively, of non-cash accelerated stock-based compensation expense and related payroll taxes associated with our former President.</w:t>
      </w:r>
    </w:p>
    <w:p>
      <w:pPr>
        <w:spacing w:after="0" w:line="11" w:lineRule="exact"/>
        <w:rPr>
          <w:rFonts w:ascii="Arial" w:cs="Arial" w:eastAsia="Arial" w:hAnsi="Arial"/>
          <w:sz w:val="11"/>
          <w:szCs w:val="11"/>
          <w:color w:val="auto"/>
        </w:rPr>
      </w:pPr>
    </w:p>
    <w:p>
      <w:pPr>
        <w:ind w:left="440" w:right="460" w:hanging="414"/>
        <w:spacing w:after="0" w:line="282"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6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4"/>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3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77"/>
        </w:trPr>
        <w:tc>
          <w:tcPr>
            <w:tcW w:w="8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ind w:left="360"/>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ind w:left="380"/>
              <w:spacing w:after="0"/>
              <w:rPr>
                <w:sz w:val="20"/>
                <w:szCs w:val="20"/>
                <w:color w:val="auto"/>
              </w:rPr>
            </w:pPr>
            <w:r>
              <w:rPr>
                <w:rFonts w:ascii="Arial" w:cs="Arial" w:eastAsia="Arial" w:hAnsi="Arial"/>
                <w:sz w:val="16"/>
                <w:szCs w:val="16"/>
                <w:color w:val="auto"/>
              </w:rPr>
              <w:t>1,167,646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897,741</w:t>
            </w: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(62,541)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(47,909)</w:t>
            </w: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(40,552)</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(40,960)</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1,064,553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808,872</w:t>
            </w: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9"/>
          </w:tcPr>
          <w:p>
            <w:pPr>
              <w:jc w:val="right"/>
              <w:ind w:right="5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280" w:type="dxa"/>
            <w:vAlign w:val="bottom"/>
            <w:tcBorders>
              <w:bottom w:val="single" w:sz="8" w:color="D5DCE4"/>
            </w:tcBorders>
            <w:shd w:val="clear" w:color="auto" w:fill="D5DCE4"/>
          </w:tcPr>
          <w:p>
            <w:pPr>
              <w:spacing w:after="0"/>
              <w:rPr>
                <w:sz w:val="19"/>
                <w:szCs w:val="19"/>
                <w:color w:val="auto"/>
              </w:rPr>
            </w:pPr>
          </w:p>
        </w:tc>
        <w:tc>
          <w:tcPr>
            <w:tcW w:w="122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324,992</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142,210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812,792</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501,507</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w:t>
            </w:r>
          </w:p>
        </w:tc>
        <w:tc>
          <w:tcPr>
            <w:tcW w:w="280" w:type="dxa"/>
            <w:vAlign w:val="bottom"/>
            <w:shd w:val="clear" w:color="auto" w:fill="D5DCE4"/>
          </w:tcPr>
          <w:p>
            <w:pPr>
              <w:spacing w:after="0"/>
              <w:rPr>
                <w:sz w:val="18"/>
                <w:szCs w:val="18"/>
                <w:color w:val="auto"/>
              </w:rPr>
            </w:pPr>
          </w:p>
        </w:tc>
        <w:tc>
          <w:tcPr>
            <w:tcW w:w="12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participating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(636)</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324,732</w:t>
            </w:r>
          </w:p>
        </w:tc>
        <w:tc>
          <w:tcPr>
            <w:tcW w:w="80" w:type="dxa"/>
            <w:vAlign w:val="bottom"/>
          </w:tcPr>
          <w:p>
            <w:pPr>
              <w:spacing w:after="0"/>
              <w:rPr>
                <w:sz w:val="15"/>
                <w:szCs w:val="15"/>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142,043</w:t>
            </w:r>
          </w:p>
        </w:tc>
        <w:tc>
          <w:tcPr>
            <w:tcW w:w="80" w:type="dxa"/>
            <w:vAlign w:val="bottom"/>
          </w:tcPr>
          <w:p>
            <w:pPr>
              <w:spacing w:after="0"/>
              <w:rPr>
                <w:sz w:val="15"/>
                <w:szCs w:val="15"/>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812,156</w:t>
            </w:r>
          </w:p>
        </w:tc>
        <w:tc>
          <w:tcPr>
            <w:tcW w:w="80" w:type="dxa"/>
            <w:vAlign w:val="bottom"/>
          </w:tcPr>
          <w:p>
            <w:pPr>
              <w:spacing w:after="0"/>
              <w:rPr>
                <w:sz w:val="15"/>
                <w:szCs w:val="15"/>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501,118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4"/>
                <w:szCs w:val="14"/>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213,065,776</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213,039,958</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213,213,371</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213,030,056</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80" w:type="dxa"/>
            <w:vAlign w:val="bottom"/>
            <w:shd w:val="clear" w:color="auto" w:fill="D5DCE4"/>
          </w:tcPr>
          <w:p>
            <w:pPr>
              <w:spacing w:after="0"/>
              <w:rPr>
                <w:sz w:val="18"/>
                <w:szCs w:val="18"/>
                <w:color w:val="auto"/>
              </w:rPr>
            </w:pPr>
          </w:p>
        </w:tc>
        <w:tc>
          <w:tcPr>
            <w:tcW w:w="122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489,115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661,696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460,612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589,171</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267,525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303,253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284,464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428,926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390,413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561,703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407,012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415,957</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527,918</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476,742</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532,781</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460,653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214,740,747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215,043,352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214,898,240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214,924,763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0.66</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3.78</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During the quarters ended December 31, 2025 and 2024, there was a total of 170,479 and 249,907, respectively, and during the years ended December 31, 2025 and 2024, there was a total of 167,018 and</w:t>
      </w:r>
    </w:p>
    <w:p>
      <w:pPr>
        <w:spacing w:after="0" w:line="22" w:lineRule="exact"/>
        <w:rPr>
          <w:sz w:val="20"/>
          <w:szCs w:val="20"/>
          <w:color w:val="auto"/>
        </w:rPr>
      </w:pPr>
    </w:p>
    <w:p>
      <w:pPr>
        <w:ind w:left="440" w:right="40" w:hanging="414"/>
        <w:spacing w:after="0" w:line="258"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165,565, respectively, weighted average unvested or unsettled vested stock awards that were considered a participating security for purposes of calculating earnings per share in accordance with the two-class method.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5"/>
          </w:tcPr>
          <w:p>
            <w:pPr>
              <w:ind w:left="30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040" w:type="dxa"/>
            <w:vAlign w:val="bottom"/>
            <w:gridSpan w:val="5"/>
          </w:tcPr>
          <w:p>
            <w:pPr>
              <w:ind w:left="30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080" w:type="dxa"/>
            <w:vAlign w:val="bottom"/>
            <w:gridSpan w:val="5"/>
          </w:tcPr>
          <w:p>
            <w:pPr>
              <w:ind w:left="44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9"/>
                <w:szCs w:val="19"/>
                <w:color w:val="auto"/>
              </w:rPr>
            </w:pPr>
          </w:p>
        </w:tc>
        <w:tc>
          <w:tcPr>
            <w:tcW w:w="18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 Ended</w:t>
            </w:r>
          </w:p>
        </w:tc>
      </w:tr>
      <w:tr>
        <w:trPr>
          <w:trHeight w:val="244"/>
        </w:trPr>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2024</w:t>
            </w:r>
          </w:p>
        </w:tc>
      </w:tr>
      <w:tr>
        <w:trPr>
          <w:trHeight w:val="23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r>
      <w:tr>
        <w:trPr>
          <w:trHeight w:val="277"/>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7"/>
        </w:trPr>
        <w:tc>
          <w:tcPr>
            <w:tcW w:w="2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207,735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71,348</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175,407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64,785</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813,244</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280,285</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660,438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244,500</w:t>
            </w:r>
          </w:p>
        </w:tc>
      </w:tr>
      <w:tr>
        <w:trPr>
          <w:trHeight w:val="235"/>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100,939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17,469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103,377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425,317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62,720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423,708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35,332</w:t>
            </w:r>
          </w:p>
        </w:tc>
      </w:tr>
      <w:tr>
        <w:trPr>
          <w:trHeight w:val="251"/>
        </w:trPr>
        <w:tc>
          <w:tcPr>
            <w:tcW w:w="2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29,062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26,470</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2,279</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117,520</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94,964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9,220</w:t>
            </w:r>
          </w:p>
        </w:tc>
      </w:tr>
      <w:tr>
        <w:trPr>
          <w:trHeight w:val="235"/>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156,224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98,216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17,004</w:t>
            </w:r>
          </w:p>
        </w:tc>
      </w:tr>
      <w:tr>
        <w:trPr>
          <w:trHeight w:val="251"/>
        </w:trPr>
        <w:tc>
          <w:tcPr>
            <w:tcW w:w="2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33,684</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29,922</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415</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133,309</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117,563</w:t>
            </w:r>
          </w:p>
        </w:tc>
      </w:tr>
      <w:tr>
        <w:trPr>
          <w:trHeight w:val="236"/>
        </w:trPr>
        <w:tc>
          <w:tcPr>
            <w:tcW w:w="268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6,816</w:t>
            </w: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6,094</w:t>
            </w: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11,692</w:t>
            </w:r>
          </w:p>
        </w:tc>
        <w:tc>
          <w:tcPr>
            <w:tcW w:w="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24,563</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23,566</w:t>
            </w:r>
          </w:p>
        </w:tc>
      </w:tr>
      <w:tr>
        <w:trPr>
          <w:trHeight w:val="268"/>
        </w:trPr>
        <w:tc>
          <w:tcPr>
            <w:tcW w:w="26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385,769</w:t>
            </w:r>
          </w:p>
        </w:tc>
        <w:tc>
          <w:tcPr>
            <w:tcW w:w="80" w:type="dxa"/>
            <w:vAlign w:val="bottom"/>
            <w:tcBorders>
              <w:bottom w:val="single" w:sz="8" w:color="D5DCE4"/>
            </w:tcBorders>
            <w:shd w:val="clear" w:color="auto" w:fill="D5DCE4"/>
          </w:tcPr>
          <w:p>
            <w:pPr>
              <w:spacing w:after="0"/>
              <w:rPr>
                <w:sz w:val="22"/>
                <w:szCs w:val="22"/>
                <w:color w:val="auto"/>
              </w:rPr>
            </w:pPr>
          </w:p>
        </w:tc>
        <w:tc>
          <w:tcPr>
            <w:tcW w:w="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135,414</w:t>
            </w:r>
          </w:p>
        </w:tc>
        <w:tc>
          <w:tcPr>
            <w:tcW w:w="140" w:type="dxa"/>
            <w:vAlign w:val="bottom"/>
            <w:tcBorders>
              <w:bottom w:val="single" w:sz="8" w:color="D5DCE4"/>
            </w:tcBorders>
            <w:shd w:val="clear" w:color="auto" w:fill="D5DCE4"/>
          </w:tcPr>
          <w:p>
            <w:pPr>
              <w:spacing w:after="0"/>
              <w:rPr>
                <w:sz w:val="22"/>
                <w:szCs w:val="22"/>
                <w:color w:val="auto"/>
              </w:rPr>
            </w:pP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345,841</w:t>
            </w:r>
          </w:p>
        </w:tc>
        <w:tc>
          <w:tcPr>
            <w:tcW w:w="80" w:type="dxa"/>
            <w:vAlign w:val="bottom"/>
            <w:tcBorders>
              <w:bottom w:val="single" w:sz="8" w:color="D5DCE4"/>
            </w:tcBorders>
            <w:shd w:val="clear" w:color="auto" w:fill="D5DCE4"/>
          </w:tcPr>
          <w:p>
            <w:pPr>
              <w:spacing w:after="0"/>
              <w:rPr>
                <w:sz w:val="22"/>
                <w:szCs w:val="22"/>
                <w:color w:val="auto"/>
              </w:rPr>
            </w:pPr>
          </w:p>
        </w:tc>
        <w:tc>
          <w:tcPr>
            <w:tcW w:w="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117,503</w:t>
            </w:r>
          </w:p>
        </w:tc>
        <w:tc>
          <w:tcPr>
            <w:tcW w:w="180" w:type="dxa"/>
            <w:vAlign w:val="bottom"/>
            <w:tcBorders>
              <w:bottom w:val="single" w:sz="8" w:color="D5DCE4"/>
            </w:tcBorders>
            <w:shd w:val="clear" w:color="auto" w:fill="D5DCE4"/>
          </w:tcPr>
          <w:p>
            <w:pPr>
              <w:spacing w:after="0"/>
              <w:rPr>
                <w:sz w:val="22"/>
                <w:szCs w:val="22"/>
                <w:color w:val="auto"/>
              </w:rPr>
            </w:pP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1,524,412</w:t>
            </w:r>
          </w:p>
        </w:tc>
        <w:tc>
          <w:tcPr>
            <w:tcW w:w="8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528,017</w:t>
            </w:r>
          </w:p>
        </w:tc>
        <w:tc>
          <w:tcPr>
            <w:tcW w:w="200" w:type="dxa"/>
            <w:vAlign w:val="bottom"/>
            <w:tcBorders>
              <w:bottom w:val="single" w:sz="8" w:color="D5DCE4"/>
            </w:tcBorders>
            <w:shd w:val="clear" w:color="auto" w:fill="D5DCE4"/>
          </w:tcPr>
          <w:p>
            <w:pPr>
              <w:spacing w:after="0"/>
              <w:rPr>
                <w:sz w:val="22"/>
                <w:szCs w:val="22"/>
                <w:color w:val="auto"/>
              </w:rPr>
            </w:pP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1,278,764</w:t>
            </w:r>
          </w:p>
        </w:tc>
        <w:tc>
          <w:tcPr>
            <w:tcW w:w="80" w:type="dxa"/>
            <w:vAlign w:val="bottom"/>
            <w:tcBorders>
              <w:bottom w:val="single" w:sz="8" w:color="D5DCE4"/>
            </w:tcBorders>
            <w:shd w:val="clear" w:color="auto" w:fill="D5DCE4"/>
          </w:tcPr>
          <w:p>
            <w:pPr>
              <w:spacing w:after="0"/>
              <w:rPr>
                <w:sz w:val="22"/>
                <w:szCs w:val="22"/>
                <w:color w:val="auto"/>
              </w:rPr>
            </w:pPr>
          </w:p>
        </w:tc>
        <w:tc>
          <w:tcPr>
            <w:tcW w:w="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447,185</w:t>
            </w:r>
          </w:p>
        </w:tc>
      </w:tr>
      <w:tr>
        <w:trPr>
          <w:trHeight w:val="20"/>
        </w:trPr>
        <w:tc>
          <w:tcPr>
            <w:tcW w:w="250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8</w:t>
      </w:r>
    </w:p>
    <w:p>
      <w:pPr>
        <w:sectPr>
          <w:pgSz w:w="11900" w:h="16838" w:orient="portrait"/>
          <w:cols w:equalWidth="0" w:num="1">
            <w:col w:w="11240"/>
          </w:cols>
          <w:pgMar w:left="320" w:top="74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 December 31,</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39"/>
        </w:trPr>
        <w:tc>
          <w:tcPr>
            <w:tcW w:w="4980" w:type="dxa"/>
            <w:vAlign w:val="bottom"/>
            <w:tcBorders>
              <w:bottom w:val="single" w:sz="8" w:color="D5DCE4"/>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D5DCE4"/>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1.98</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D5DCE4"/>
          </w:tcPr>
          <w:p>
            <w:pPr>
              <w:spacing w:after="0"/>
              <w:rPr>
                <w:sz w:val="20"/>
                <w:szCs w:val="20"/>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(11.5)%</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(14.3)%</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Rates Derivatives (≥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51"/>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0.21</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48.02</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60.36</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(20.4)%</w:t>
            </w:r>
          </w:p>
        </w:tc>
      </w:tr>
      <w:tr>
        <w:trPr>
          <w:trHeight w:val="243"/>
        </w:trPr>
        <w:tc>
          <w:tcPr>
            <w:tcW w:w="440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126.83</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148.07</w:t>
            </w:r>
          </w:p>
        </w:tc>
        <w:tc>
          <w:tcPr>
            <w:tcW w:w="14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44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7.34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7.98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16.71</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17.56</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w:t>
            </w:r>
          </w:p>
        </w:tc>
      </w:tr>
      <w:tr>
        <w:trPr>
          <w:trHeight w:val="235"/>
        </w:trPr>
        <w:tc>
          <w:tcPr>
            <w:tcW w:w="440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25.98</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29.00</w:t>
            </w:r>
          </w:p>
        </w:tc>
        <w:tc>
          <w:tcPr>
            <w:tcW w:w="14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1"/>
        </w:trPr>
        <w:tc>
          <w:tcPr>
            <w:tcW w:w="44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6.98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7.07</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0.54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0.57</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w:t>
            </w:r>
          </w:p>
        </w:tc>
      </w:t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2.04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2.28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(10.2)%</w:t>
            </w:r>
          </w:p>
        </w:tc>
      </w:tr>
      <w:tr>
        <w:trPr>
          <w:trHeight w:val="302"/>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2.51</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2.59</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bl>
    <w:p>
      <w:pPr>
        <w:spacing w:after="0" w:line="197" w:lineRule="exact"/>
        <w:rPr>
          <w:sz w:val="20"/>
          <w:szCs w:val="20"/>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blended fees per million across periods presented.</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2025 Q4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2024 Q4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ind w:left="50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7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556,909</w:t>
            </w:r>
          </w:p>
        </w:tc>
        <w:tc>
          <w:tcPr>
            <w:tcW w:w="4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34,664,626</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508,863</w:t>
            </w:r>
          </w:p>
        </w:tc>
        <w:tc>
          <w:tcPr>
            <w:tcW w:w="4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31,654,127</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9.44 %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Government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233,591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14,482,640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224,928</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13,945,561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3.85 %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European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62,299</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3,987,160</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48,016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3,073,052</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29.75 %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Mortgages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248,701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15,419,453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226,707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14,055,856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9.70 %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Other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12,317</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775,373</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9,211</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579,657</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33.73 %</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1,117,054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70,468,872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744,591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46,914,537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50.02 %</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Swaps/Swaptions ≥ 1Y</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523,152</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32,997,415</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416,896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26,248,749</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25.49 %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Swaps/Swaptions &lt; 1Y</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583,556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36,825,275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320,517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20,205,645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82.07 %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Futures</w:t>
            </w:r>
          </w:p>
        </w:tc>
        <w:tc>
          <w:tcPr>
            <w:tcW w:w="2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10,346</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646,182</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7,178</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460,143</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44.13 %</w:t>
            </w: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1,673,963</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105,133,498</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1,253,454</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78,568,664</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33.55 %</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16,251</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1,009,854</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14,751</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919,420</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10.17 %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High Grade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6,929</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429,586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6,487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402,207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6.81 %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3360" w:type="dxa"/>
            <w:vAlign w:val="bottom"/>
            <w:tcBorders>
              <w:right w:val="single" w:sz="8" w:color="D5DCE4"/>
            </w:tcBorders>
            <w:gridSpan w:val="3"/>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U.S. High Grade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2,900</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179,796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3,116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193,168</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High Yield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1,019</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49,196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28.46 %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3360" w:type="dxa"/>
            <w:vAlign w:val="bottom"/>
            <w:tcBorders>
              <w:right w:val="single" w:sz="8" w:color="D5DCE4"/>
            </w:tcBorders>
            <w:gridSpan w:val="3"/>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U.S. High Yield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219</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13,598</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12.09 %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European Credit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168,734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2,280</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145,902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15.65 %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Municipal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494</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421</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26,113</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17.28 %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Chinese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72,276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41.80 %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Other Credit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374</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23,488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269</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16,960</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38.99 %</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17,391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1,092,210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12,613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793,229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37.88 %</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Swaps</w:t>
            </w:r>
          </w:p>
        </w:tc>
        <w:tc>
          <w:tcPr>
            <w:tcW w:w="2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17,391</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1,092,210</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12,613</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793,229</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37.88 %</w:t>
            </w:r>
          </w:p>
        </w:tc>
        <w:tc>
          <w:tcPr>
            <w:tcW w:w="0" w:type="dxa"/>
            <w:vAlign w:val="bottom"/>
          </w:tcPr>
          <w:p>
            <w:pPr>
              <w:spacing w:after="0"/>
              <w:rPr>
                <w:sz w:val="1"/>
                <w:szCs w:val="1"/>
                <w:color w:val="auto"/>
              </w:rPr>
            </w:pPr>
          </w:p>
        </w:tc>
      </w:tr>
      <w:tr>
        <w:trPr>
          <w:trHeight w:val="233"/>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33,642</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2,102,063</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27,364</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1,712,648</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22.94 %</w:t>
            </w:r>
          </w:p>
        </w:tc>
        <w:tc>
          <w:tcPr>
            <w:tcW w:w="0" w:type="dxa"/>
            <w:vAlign w:val="bottom"/>
          </w:tcPr>
          <w:p>
            <w:pPr>
              <w:spacing w:after="0"/>
              <w:rPr>
                <w:sz w:val="1"/>
                <w:szCs w:val="1"/>
                <w:color w:val="auto"/>
              </w:rPr>
            </w:pPr>
          </w:p>
        </w:tc>
      </w:tr>
      <w:tr>
        <w:trPr>
          <w:trHeight w:val="240"/>
        </w:trPr>
        <w:tc>
          <w:tcPr>
            <w:tcW w:w="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13,919</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890,810</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11,265</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720,972</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23.56 %</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U.S. ETFs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10,433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667,689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8,104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518,641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28.74 %</w:t>
            </w:r>
          </w:p>
        </w:tc>
        <w:tc>
          <w:tcPr>
            <w:tcW w:w="0" w:type="dxa"/>
            <w:vAlign w:val="bottom"/>
          </w:tcPr>
          <w:p>
            <w:pPr>
              <w:spacing w:after="0"/>
              <w:rPr>
                <w:sz w:val="1"/>
                <w:szCs w:val="1"/>
                <w:color w:val="auto"/>
              </w:rPr>
            </w:pPr>
          </w:p>
        </w:tc>
      </w:tr>
      <w:tr>
        <w:trPr>
          <w:trHeight w:val="251"/>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International ETFs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3,486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223,121</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3,161</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202,331</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10.28 %</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13,254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848,246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12,295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786,854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7.80 %</w:t>
            </w:r>
          </w:p>
        </w:tc>
        <w:tc>
          <w:tcPr>
            <w:tcW w:w="0" w:type="dxa"/>
            <w:vAlign w:val="bottom"/>
          </w:tcPr>
          <w:p>
            <w:pPr>
              <w:spacing w:after="0"/>
              <w:rPr>
                <w:sz w:val="1"/>
                <w:szCs w:val="1"/>
                <w:color w:val="auto"/>
              </w:rPr>
            </w:pPr>
          </w:p>
        </w:tc>
      </w:tr>
      <w:tr>
        <w:trPr>
          <w:trHeight w:val="247"/>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Convertibles/Swaps/Options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9,118</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583,536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8,906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570,007</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jc w:val="right"/>
              <w:ind w:right="240"/>
              <w:spacing w:after="0"/>
              <w:rPr>
                <w:sz w:val="20"/>
                <w:szCs w:val="20"/>
                <w:color w:val="auto"/>
              </w:rPr>
            </w:pPr>
            <w:r>
              <w:rPr>
                <w:rFonts w:ascii="Arial" w:cs="Arial" w:eastAsia="Arial" w:hAnsi="Arial"/>
                <w:sz w:val="16"/>
                <w:szCs w:val="16"/>
                <w:i w:val="1"/>
                <w:iCs w:val="1"/>
                <w:color w:val="auto"/>
              </w:rPr>
              <w:t>Futures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264,710</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216,847</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22.07 %</w:t>
            </w:r>
          </w:p>
        </w:tc>
        <w:tc>
          <w:tcPr>
            <w:tcW w:w="0" w:type="dxa"/>
            <w:vAlign w:val="bottom"/>
          </w:tcPr>
          <w:p>
            <w:pPr>
              <w:spacing w:after="0"/>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27,173</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1,739,056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23,560</w:t>
            </w:r>
          </w:p>
        </w:tc>
        <w:tc>
          <w:tcPr>
            <w:tcW w:w="44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1,507,825</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15.34 %</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3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1,092,105</w:t>
            </w: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76,306,916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988,101</w:t>
            </w: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69,908,118</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10.53 %</w:t>
            </w: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120" w:type="dxa"/>
            <w:vAlign w:val="bottom"/>
            <w:tcBorders>
              <w:right w:val="single" w:sz="8" w:color="D5DCE4"/>
            </w:tcBorders>
            <w:gridSpan w:val="2"/>
            <w:shd w:val="clear" w:color="auto" w:fill="D5DCE4"/>
          </w:tcPr>
          <w:p>
            <w:pPr>
              <w:jc w:val="right"/>
              <w:ind w:right="240"/>
              <w:spacing w:after="0"/>
              <w:rPr>
                <w:sz w:val="20"/>
                <w:szCs w:val="20"/>
                <w:color w:val="auto"/>
              </w:rPr>
            </w:pPr>
            <w:r>
              <w:rPr>
                <w:rFonts w:ascii="Arial" w:cs="Arial" w:eastAsia="Arial" w:hAnsi="Arial"/>
                <w:sz w:val="16"/>
                <w:szCs w:val="16"/>
                <w:i w:val="1"/>
                <w:iCs w:val="1"/>
                <w:color w:val="auto"/>
              </w:rPr>
              <w:t>Repurchase Agreements (Repo)</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801,365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50,034,357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687,715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42,874,735</w:t>
            </w:r>
          </w:p>
        </w:tc>
        <w:tc>
          <w:tcPr>
            <w:tcW w:w="100" w:type="dxa"/>
            <w:vAlign w:val="bottom"/>
            <w:tcBorders>
              <w:right w:val="single" w:sz="8" w:color="D5DCE4"/>
            </w:tcBorders>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16.53 %</w:t>
            </w:r>
          </w:p>
        </w:tc>
        <w:tc>
          <w:tcPr>
            <w:tcW w:w="0" w:type="dxa"/>
            <w:vAlign w:val="bottom"/>
          </w:tcPr>
          <w:p>
            <w:pPr>
              <w:spacing w:after="0"/>
              <w:rPr>
                <w:sz w:val="1"/>
                <w:szCs w:val="1"/>
                <w:color w:val="auto"/>
              </w:rPr>
            </w:pPr>
          </w:p>
        </w:tc>
      </w:tr>
      <w:tr>
        <w:trPr>
          <w:trHeight w:val="236"/>
        </w:trPr>
        <w:tc>
          <w:tcPr>
            <w:tcW w:w="98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120" w:type="dxa"/>
            <w:vAlign w:val="bottom"/>
            <w:tcBorders>
              <w:bottom w:val="single" w:sz="8" w:color="D5DCE4"/>
            </w:tcBorders>
            <w:gridSpan w:val="2"/>
          </w:tcPr>
          <w:p>
            <w:pPr>
              <w:jc w:val="right"/>
              <w:ind w:right="240"/>
              <w:spacing w:after="0"/>
              <w:rPr>
                <w:sz w:val="20"/>
                <w:szCs w:val="20"/>
                <w:color w:val="auto"/>
              </w:rPr>
            </w:pPr>
            <w:r>
              <w:rPr>
                <w:rFonts w:ascii="Arial" w:cs="Arial" w:eastAsia="Arial" w:hAnsi="Arial"/>
                <w:sz w:val="16"/>
                <w:szCs w:val="16"/>
                <w:i w:val="1"/>
                <w:iCs w:val="1"/>
                <w:color w:val="auto"/>
              </w:rPr>
              <w:t>Other Money Markets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290,740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26,272,559</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300,385</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27,033,383</w:t>
            </w:r>
          </w:p>
        </w:tc>
        <w:tc>
          <w:tcPr>
            <w:tcW w:w="100" w:type="dxa"/>
            <w:vAlign w:val="bottom"/>
            <w:tcBorders>
              <w:bottom w:val="single" w:sz="8" w:color="D5DCE4"/>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39"/>
        </w:trPr>
        <w:tc>
          <w:tcPr>
            <w:tcW w:w="98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31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1,092,105</w:t>
            </w:r>
          </w:p>
        </w:tc>
        <w:tc>
          <w:tcPr>
            <w:tcW w:w="440" w:type="dxa"/>
            <w:vAlign w:val="bottom"/>
            <w:tcBorders>
              <w:bottom w:val="single" w:sz="8" w:color="auto"/>
            </w:tcBorders>
            <w:shd w:val="clear" w:color="auto" w:fill="D5DCE4"/>
          </w:tcPr>
          <w:p>
            <w:pPr>
              <w:spacing w:after="0"/>
              <w:rPr>
                <w:sz w:val="20"/>
                <w:szCs w:val="20"/>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76,306,916</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988,101</w:t>
            </w:r>
          </w:p>
        </w:tc>
        <w:tc>
          <w:tcPr>
            <w:tcW w:w="440" w:type="dxa"/>
            <w:vAlign w:val="bottom"/>
            <w:tcBorders>
              <w:bottom w:val="single" w:sz="8" w:color="auto"/>
            </w:tcBorders>
            <w:shd w:val="clear" w:color="auto" w:fill="D5DCE4"/>
          </w:tcPr>
          <w:p>
            <w:pPr>
              <w:spacing w:after="0"/>
              <w:rPr>
                <w:sz w:val="20"/>
                <w:szCs w:val="20"/>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69,908,118</w:t>
            </w:r>
          </w:p>
        </w:tc>
        <w:tc>
          <w:tcPr>
            <w:tcW w:w="100" w:type="dxa"/>
            <w:vAlign w:val="bottom"/>
            <w:tcBorders>
              <w:right w:val="single" w:sz="8" w:color="D5DCE4"/>
            </w:tcBorders>
            <w:shd w:val="clear" w:color="auto" w:fill="D5DCE4"/>
          </w:tcPr>
          <w:p>
            <w:pPr>
              <w:spacing w:after="0"/>
              <w:rPr>
                <w:sz w:val="20"/>
                <w:szCs w:val="20"/>
                <w:color w:val="auto"/>
              </w:rPr>
            </w:pPr>
          </w:p>
        </w:tc>
        <w:tc>
          <w:tcPr>
            <w:tcW w:w="13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10.53 %</w:t>
            </w:r>
          </w:p>
        </w:tc>
        <w:tc>
          <w:tcPr>
            <w:tcW w:w="0" w:type="dxa"/>
            <w:vAlign w:val="bottom"/>
          </w:tcPr>
          <w:p>
            <w:pPr>
              <w:spacing w:after="0"/>
              <w:rPr>
                <w:sz w:val="1"/>
                <w:szCs w:val="1"/>
                <w:color w:val="auto"/>
              </w:rPr>
            </w:pPr>
          </w:p>
        </w:tc>
      </w:tr>
      <w:tr>
        <w:trPr>
          <w:trHeight w:val="200"/>
        </w:trPr>
        <w:tc>
          <w:tcPr>
            <w:tcW w:w="98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302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8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240" w:type="dxa"/>
            <w:vAlign w:val="bottom"/>
            <w:tcBorders>
              <w:bottom w:val="single" w:sz="8" w:color="auto"/>
              <w:right w:val="single" w:sz="8" w:color="auto"/>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60" w:type="dxa"/>
            <w:vAlign w:val="bottom"/>
            <w:tcBorders>
              <w:bottom w:val="single" w:sz="8" w:color="auto"/>
              <w:right w:val="single" w:sz="8" w:color="auto"/>
            </w:tcBorders>
            <w:gridSpan w:val="2"/>
            <w:shd w:val="clear" w:color="auto" w:fill="D5DCE4"/>
          </w:tcPr>
          <w:p>
            <w:pPr>
              <w:ind w:left="4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40" w:type="dxa"/>
            <w:vAlign w:val="bottom"/>
            <w:tcBorders>
              <w:bottom w:val="single" w:sz="8" w:color="auto"/>
              <w:right w:val="single" w:sz="8" w:color="auto"/>
            </w:tcBorders>
            <w:shd w:val="clear" w:color="auto" w:fill="D5DCE4"/>
          </w:tcPr>
          <w:p>
            <w:pPr>
              <w:ind w:left="50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2,826,883</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185,281,533</w:t>
            </w: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2,292,479</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151,697,256</w:t>
            </w: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23.31 %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46" w:lineRule="exact"/>
        <w:rPr>
          <w:sz w:val="20"/>
          <w:szCs w:val="20"/>
          <w:color w:val="auto"/>
        </w:rPr>
      </w:pPr>
    </w:p>
    <w:p>
      <w:pPr>
        <w:ind w:left="10480"/>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60"/>
          </w:cols>
          <w:pgMar w:left="320" w:top="773"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AND FULL YEAR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interim and full year financial results presented herein for the quarters and years ended December 31, 2025 and 2024 are unaudited.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2026 guidance and full-year 2026 revenue guidance related to the LSEG market data license agreement, any acquisitions, investments, partnerships and collaborations, future performance, the industry and markets in which we operate, our expectations, beliefs, plans, strategies, objectives, prospects and assumptions and future events are forward-looking statements.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3"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11</w:t>
      </w:r>
    </w:p>
    <w:p>
      <w:pPr>
        <w:sectPr>
          <w:pgSz w:w="11900" w:h="16838" w:orient="portrait"/>
          <w:cols w:equalWidth="0" w:num="1">
            <w:col w:w="11240"/>
          </w:cols>
          <w:pgMar w:left="320" w:top="989" w:right="339" w:bottom="1440" w:gutter="0" w:footer="0" w:header="0"/>
          <w:type w:val="continuous"/>
        </w:sectPr>
      </w:pPr>
    </w:p>
    <w:bookmarkStart w:id="14" w:name="page15"/>
    <w:bookmarkEnd w:id="14"/>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2026-02-05T06:06:45Z</dcterms:created>
  <dcterms:modified xsi:type="dcterms:W3CDTF">2026-02-05T06:06:45Z</dcterms:modified>
</cp:coreProperties>
</file>