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7,985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131.33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75,439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17"/>
              <w:spacing w:after="0" w:line="320" w:lineRule="exact"/>
              <w:rPr>
                <w:sz w:val="20"/>
                <w:szCs w:val="20"/>
                <w:color w:val="auto"/>
              </w:rPr>
            </w:pPr>
            <w:r>
              <w:rPr>
                <w:rFonts w:ascii="Times New Roman" w:cs="Times New Roman" w:eastAsia="Times New Roman" w:hAnsi="Times New Roman"/>
                <w:sz w:val="34"/>
                <w:szCs w:val="34"/>
                <w:color w:val="0000FF"/>
                <w:vertAlign w:val="subscript"/>
              </w:rPr>
              <w:t>70</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75,509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3,619 unvested RSUs in respect of Class A Common Stock which are scheduled to vest on March 31, 2025, (ii) 4,577 unvested RSUs in respect of Class A Common Stock which are scheduled to vest on March 15, 2025, (iii) 12,459 unvested RSUs in respect of Class A Common Stock which are scheduled to vest in equal installments on March 15, 2025 and March 15, 2026, (iv) 33,881 unvested RSUs in respect of Class A Common Stock which are scheduled to vest on January 1, 2026, and (v) 11,147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3180"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2025-01-03T17:08:54Z</dcterms:created>
  <dcterms:modified xsi:type="dcterms:W3CDTF">2025-01-03T17:08:54Z</dcterms:modified>
</cp:coreProperties>
</file>