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25,726</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75,793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8" w:lineRule="exact"/>
        <w:rPr>
          <w:rFonts w:ascii="Arial" w:cs="Arial" w:eastAsia="Arial" w:hAnsi="Arial"/>
          <w:sz w:val="12"/>
          <w:szCs w:val="12"/>
          <w:color w:val="008000"/>
        </w:rPr>
      </w:pPr>
    </w:p>
    <w:p>
      <w:pPr>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35,204 unvested RSUs in respect of Class A Common Stock which are scheduled to vest on January 1, 2022, (ii) 12,863 unvested RSUs in respect of Class A Common Stock which are scheduled to vest in equal installments on each of the first, second and third anniversaries of March 17, 2020, and (iii) 25,726 unvested RSUs in respect of Class A Common Stock which are scheduled to vest on January 1, 2023, in each case subject to the reporting person's continued employment through the applicable vesting date.</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2021-02-09T19:53:10Z</dcterms:created>
  <dcterms:modified xsi:type="dcterms:W3CDTF">2021-02-09T19:53:10Z</dcterms:modified>
</cp:coreProperties>
</file>