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382930.xml.htm"/>
      <w:bookmarkStart w:id="1" w:name="kswkform4_1774382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Friedman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4"/>
        <w:gridCol w:w="801"/>
        <w:gridCol w:w="620"/>
        <w:gridCol w:w="348"/>
        <w:gridCol w:w="833"/>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125.1235</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14,513</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124.86</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13,921</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$124.03 to $125.78,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1,990 unvested restricted stock units ("RSUs") in respect of the issuer's Class A common stock ("Class A Common Stock") that are scheduled to vest on March 15, 2027, (ii) 2,421 unvested RSUs in respect of Class A Common Stock that are scheduled to vest in equal installments on March 17, 2027 and March 17, 2028 and (iii) 6,510 unvested RSUs in respect of Class A Common Stock that are scheduled to vest on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1193"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4091</Characters>
  <CharactersWithSpaces>4796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