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61"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61" w:orient="portrait"/>
          <w:cols w:equalWidth="0" w:num="3">
            <w:col w:w="3200" w:space="720"/>
            <w:col w:w="3095" w:space="720"/>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61"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4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104,922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274,493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56,701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217,792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(4)</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547</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218,339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(5)</w:t>
            </w:r>
          </w:p>
        </w:tc>
        <w:tc>
          <w:tcPr>
            <w:tcW w:w="7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43,240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175,099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jc w:val="center"/>
              <w:ind w:left="408"/>
              <w:spacing w:after="0"/>
              <w:rPr>
                <w:sz w:val="20"/>
                <w:szCs w:val="20"/>
                <w:color w:val="auto"/>
              </w:rPr>
            </w:pPr>
            <w:r>
              <w:rPr>
                <w:rFonts w:ascii="Times New Roman" w:cs="Times New Roman" w:eastAsia="Times New Roman" w:hAnsi="Times New Roman"/>
                <w:sz w:val="17"/>
                <w:szCs w:val="17"/>
                <w:color w:val="0000FF"/>
              </w:rPr>
              <w:t>01/01/2026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(6)</w:t>
            </w:r>
          </w:p>
        </w:tc>
        <w:tc>
          <w:tcPr>
            <w:tcW w:w="74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rPr>
              <w:t>407</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left="58"/>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175,506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 stock units ("PSUs") in respect of the issuer's Class A common stock ("Class A Common Stock") that were granted to the reporting person on March 15, 2023, subject to the achievement of certain performance goals in respect of calendar years 2023 through 2025. The level of achievement of those performance goals was determined on January 1, 2026.</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14,376 unvested RSUs in respect of Class A Common Stock which are scheduled to vest on March 15, 2026, (ii) 23,356 unvested RSUs in respect of Class A Common Stock that are scheduled to vest in equal installments on March 15, 2026 and March 15, 2027, and (iii) 30,682 unvested RSUs in respect of Class A Common Stock that are scheduled to vest in equal installments on March 17, 2026, March 17, 2027 and March 17, 2028, in each case, subject to the reporting person's continued employment through the applicable vesting date. This amount also includes the vested PSUs described in footnote #1 above, which will settle in shares of Class A Common Stock within 15 days of the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the PSUs in respect of the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PSUs, and settled in shares of Class A Common Stock in connection with the settlement of the PSUs to which they relate.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performance-based restricted stock units ("PRSUs") in respect of the issuer's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DERs. The DERs were granted in connection with previously awarded PRSUs, and settled in shares of Class A Common Stock in connection with the settlement of the PRSUs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Hult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95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5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861"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2026-01-05T20:00:48Z</dcterms:created>
  <dcterms:modified xsi:type="dcterms:W3CDTF">2026-01-05T20:00:48Z</dcterms:modified>
</cp:coreProperties>
</file>