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10,483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65,115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24,628 unvested RSUs in respect of Class A Common Stock which are scheduled to vest on January 1, 2021, subject to the reporting person's continued employment through such date, (ii) 22,004 unvested RSUs in respect of Class A Common Stock which are scheduled to vest on January 1, 2022, subject to the reporting person's continued employment through such date, and (iii) 10,483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2020-03-19T16:36:20Z</dcterms:created>
  <dcterms:modified xsi:type="dcterms:W3CDTF">2020-03-19T16:36:20Z</dcterms:modified>
</cp:coreProperties>
</file>