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Tradeweb Markets Inc.</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544" w:right="1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001-38860</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83-2456358</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540"/>
          </w:cols>
          <w:pgMar w:left="240" w:top="544" w:right="19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1177 Avenue of the Americas</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440"/>
        <w:spacing w:after="0"/>
        <w:rPr>
          <w:sz w:val="20"/>
          <w:szCs w:val="20"/>
          <w:color w:val="auto"/>
        </w:rPr>
      </w:pPr>
      <w:r>
        <w:rPr>
          <w:rFonts w:ascii="Arial" w:cs="Arial" w:eastAsia="Arial" w:hAnsi="Arial"/>
          <w:sz w:val="18"/>
          <w:szCs w:val="18"/>
          <w:b w:val="1"/>
          <w:bCs w:val="1"/>
          <w:color w:val="auto"/>
        </w:rPr>
        <w:t>10036</w:t>
      </w:r>
    </w:p>
    <w:p>
      <w:pPr>
        <w:spacing w:after="0" w:line="27" w:lineRule="exact"/>
        <w:rPr>
          <w:sz w:val="24"/>
          <w:szCs w:val="24"/>
          <w:color w:val="auto"/>
        </w:rPr>
      </w:pPr>
    </w:p>
    <w:p>
      <w:pPr>
        <w:jc w:val="center"/>
        <w:ind w:right="24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40"/>
          </w:cols>
          <w:pgMar w:left="240" w:top="544" w:right="199" w:bottom="1440" w:gutter="0" w:footer="0" w:header="0"/>
          <w:type w:val="continuous"/>
        </w:sectPr>
      </w:pPr>
    </w:p>
    <w:p>
      <w:pPr>
        <w:spacing w:after="0" w:line="3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 430-6000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9320"/>
        <w:spacing w:after="0"/>
        <w:rPr>
          <w:sz w:val="20"/>
          <w:szCs w:val="20"/>
          <w:color w:val="auto"/>
        </w:rPr>
      </w:pPr>
      <w:r>
        <w:rPr>
          <w:rFonts w:ascii="Arial" w:cs="Arial" w:eastAsia="Arial" w:hAnsi="Arial"/>
          <w:sz w:val="16"/>
          <w:szCs w:val="16"/>
          <w:color w:val="auto"/>
        </w:rPr>
        <w:t>Emerging growth company x</w:t>
      </w:r>
    </w:p>
    <w:p>
      <w:pPr>
        <w:spacing w:after="0" w:line="248"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Title of each class</w:t>
            </w:r>
          </w:p>
        </w:tc>
        <w:tc>
          <w:tcPr>
            <w:tcW w:w="3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Trading Symbol(s)</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00" w:type="dxa"/>
            <w:vAlign w:val="bottom"/>
            <w:gridSpan w:val="2"/>
            <w:vMerge w:val="continue"/>
          </w:tcPr>
          <w:p>
            <w:pPr>
              <w:spacing w:after="0"/>
              <w:rPr>
                <w:sz w:val="14"/>
                <w:szCs w:val="14"/>
                <w:color w:val="auto"/>
              </w:rPr>
            </w:pPr>
          </w:p>
        </w:tc>
        <w:tc>
          <w:tcPr>
            <w:tcW w:w="3240" w:type="dxa"/>
            <w:vAlign w:val="bottom"/>
            <w:gridSpan w:val="2"/>
            <w:vMerge w:val="continue"/>
          </w:tcPr>
          <w:p>
            <w:pPr>
              <w:spacing w:after="0"/>
              <w:rPr>
                <w:sz w:val="14"/>
                <w:szCs w:val="14"/>
                <w:color w:val="auto"/>
              </w:rPr>
            </w:pP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Class A common stock, par value $0.00001</w:t>
            </w:r>
          </w:p>
        </w:tc>
        <w:tc>
          <w:tcPr>
            <w:tcW w:w="220" w:type="dxa"/>
            <w:vAlign w:val="bottom"/>
          </w:tcPr>
          <w:p>
            <w:pPr>
              <w:spacing w:after="0"/>
              <w:rPr>
                <w:sz w:val="19"/>
                <w:szCs w:val="19"/>
                <w:color w:val="auto"/>
              </w:rPr>
            </w:pPr>
          </w:p>
        </w:tc>
        <w:tc>
          <w:tcPr>
            <w:tcW w:w="3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TW</w:t>
            </w:r>
          </w:p>
        </w:tc>
        <w:tc>
          <w:tcPr>
            <w:tcW w:w="240" w:type="dxa"/>
            <w:vAlign w:val="bottom"/>
          </w:tcPr>
          <w:p>
            <w:pPr>
              <w:spacing w:after="0"/>
              <w:rPr>
                <w:sz w:val="19"/>
                <w:szCs w:val="19"/>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2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8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42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0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368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8"/>
        </w:trPr>
        <w:tc>
          <w:tcPr>
            <w:tcW w:w="42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0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6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44" w:right="1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940" w:firstLine="648"/>
        <w:spacing w:after="0" w:line="277" w:lineRule="auto"/>
        <w:rPr>
          <w:sz w:val="20"/>
          <w:szCs w:val="20"/>
          <w:color w:val="auto"/>
        </w:rPr>
      </w:pPr>
      <w:r>
        <w:rPr>
          <w:rFonts w:ascii="Arial" w:cs="Arial" w:eastAsia="Arial" w:hAnsi="Arial"/>
          <w:sz w:val="18"/>
          <w:szCs w:val="18"/>
          <w:color w:val="auto"/>
        </w:rPr>
        <w:t>On May 9, 2019, Tradeweb Markets Inc. (the “Company”) issued a press release, a copy of which is furnished as Exhibit 99.1 hereto and incorporated herein by reference, announcing financial results for the three months ended March 31, 2019.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accordance with General Instruction B.2 of Form 8-K, the information in this Item 2.02 of this Current Report on Form 8-K, including</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Exhibit 99.1 attached hereto, shall not be deemed “filed” for the purposes of Section 18 of the Securities Exchange Act of 1934, as amended (the “Exchange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 or otherwise subject to the liabilities of that section, nor shall it be deemed incorporated by reference in any filing under the Securities Act of 1933,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amended, or the Exchange Act, except as shall be expressly set forth by specific reference in such a filing.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(d)</w:t>
        <w:tab/>
        <w:t>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9920" w:type="dxa"/>
            <w:vAlign w:val="bottom"/>
            <w:gridSpan w:val="2"/>
            <w:vMerge w:val="restart"/>
          </w:tcPr>
          <w:p>
            <w:pPr>
              <w:ind w:left="4360"/>
              <w:spacing w:after="0"/>
              <w:rPr>
                <w:sz w:val="20"/>
                <w:szCs w:val="20"/>
                <w:color w:val="auto"/>
              </w:rPr>
            </w:pPr>
            <w:r>
              <w:rPr>
                <w:rFonts w:ascii="Arial" w:cs="Arial" w:eastAsia="Arial" w:hAnsi="Arial"/>
                <w:sz w:val="14"/>
                <w:szCs w:val="14"/>
                <w:b w:val="1"/>
                <w:bCs w:val="1"/>
                <w:color w:val="auto"/>
              </w:rPr>
              <w:t>Exhibit 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9920" w:type="dxa"/>
            <w:vAlign w:val="bottom"/>
            <w:tcBorders>
              <w:bottom w:val="single" w:sz="8" w:color="auto"/>
            </w:tcBorders>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10260" w:type="dxa"/>
            <w:vAlign w:val="bottom"/>
            <w:gridSpan w:val="3"/>
          </w:tcPr>
          <w:p>
            <w:pPr>
              <w:ind w:left="340"/>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of Tradeweb Markets Inc., dated May 9, 2019.</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80" w:type="dxa"/>
            <w:vAlign w:val="bottom"/>
            <w:tcBorders>
              <w:top w:val="single" w:sz="8" w:color="0000EE"/>
            </w:tcBorders>
          </w:tcPr>
          <w:p>
            <w:pPr>
              <w:jc w:val="right"/>
              <w:ind w:right="39"/>
              <w:spacing w:after="0"/>
              <w:rPr>
                <w:sz w:val="20"/>
                <w:szCs w:val="20"/>
                <w:color w:val="auto"/>
              </w:rPr>
            </w:pPr>
            <w:r>
              <w:rPr>
                <w:rFonts w:ascii="Arial" w:cs="Arial" w:eastAsia="Arial" w:hAnsi="Arial"/>
                <w:sz w:val="18"/>
                <w:szCs w:val="18"/>
                <w:color w:val="auto"/>
              </w:rPr>
              <w:t>2</w:t>
            </w:r>
          </w:p>
        </w:tc>
        <w:tc>
          <w:tcPr>
            <w:tcW w:w="5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4380" w:type="dxa"/>
            <w:vAlign w:val="bottom"/>
            <w:tcBorders>
              <w:bottom w:val="single" w:sz="8" w:color="808080"/>
            </w:tcBorders>
          </w:tcPr>
          <w:p>
            <w:pPr>
              <w:spacing w:after="0"/>
              <w:rPr>
                <w:sz w:val="11"/>
                <w:szCs w:val="11"/>
                <w:color w:val="auto"/>
              </w:rPr>
            </w:pPr>
          </w:p>
        </w:tc>
        <w:tc>
          <w:tcPr>
            <w:tcW w:w="5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7940" w:type="dxa"/>
            <w:vAlign w:val="bottom"/>
            <w:gridSpan w:val="3"/>
          </w:tcPr>
          <w:p>
            <w:pPr>
              <w:ind w:left="2140"/>
              <w:spacing w:after="0"/>
              <w:rPr>
                <w:sz w:val="20"/>
                <w:szCs w:val="20"/>
                <w:color w:val="auto"/>
              </w:rPr>
            </w:pPr>
            <w:r>
              <w:rPr>
                <w:rFonts w:ascii="Arial" w:cs="Arial" w:eastAsia="Arial" w:hAnsi="Arial"/>
                <w:sz w:val="18"/>
                <w:szCs w:val="18"/>
                <w:color w:val="auto"/>
              </w:rPr>
              <w:t>TRADEWEB MARKETS INC.</w:t>
            </w:r>
          </w:p>
        </w:tc>
        <w:tc>
          <w:tcPr>
            <w:tcW w:w="40" w:type="dxa"/>
            <w:vAlign w:val="bottom"/>
          </w:tcPr>
          <w:p>
            <w:pPr>
              <w:spacing w:after="0"/>
              <w:rPr>
                <w:sz w:val="20"/>
                <w:szCs w:val="20"/>
                <w:color w:val="auto"/>
              </w:rPr>
            </w:pPr>
          </w:p>
        </w:tc>
      </w:tr>
      <w:tr>
        <w:trPr>
          <w:trHeight w:val="648"/>
        </w:trPr>
        <w:tc>
          <w:tcPr>
            <w:tcW w:w="3480" w:type="dxa"/>
            <w:vAlign w:val="bottom"/>
          </w:tcPr>
          <w:p>
            <w:pPr>
              <w:spacing w:after="0"/>
              <w:rPr>
                <w:sz w:val="20"/>
                <w:szCs w:val="20"/>
                <w:color w:val="auto"/>
              </w:rPr>
            </w:pPr>
            <w:r>
              <w:rPr>
                <w:rFonts w:ascii="Arial" w:cs="Arial" w:eastAsia="Arial" w:hAnsi="Arial"/>
                <w:sz w:val="18"/>
                <w:szCs w:val="18"/>
                <w:color w:val="auto"/>
              </w:rPr>
              <w:t>Date: May 9, 2019</w:t>
            </w:r>
          </w:p>
        </w:tc>
        <w:tc>
          <w:tcPr>
            <w:tcW w:w="7940" w:type="dxa"/>
            <w:vAlign w:val="bottom"/>
            <w:gridSpan w:val="3"/>
          </w:tcPr>
          <w:p>
            <w:pPr>
              <w:ind w:left="2140"/>
              <w:spacing w:after="0"/>
              <w:rPr>
                <w:sz w:val="20"/>
                <w:szCs w:val="20"/>
                <w:color w:val="auto"/>
              </w:rPr>
            </w:pPr>
            <w:r>
              <w:rPr>
                <w:rFonts w:ascii="Arial" w:cs="Arial" w:eastAsia="Arial" w:hAnsi="Arial"/>
                <w:sz w:val="18"/>
                <w:szCs w:val="18"/>
                <w:color w:val="auto"/>
              </w:rPr>
              <w:t>By:   /s/ Douglas Friedman</w:t>
            </w:r>
          </w:p>
        </w:tc>
        <w:tc>
          <w:tcPr>
            <w:tcW w:w="40" w:type="dxa"/>
            <w:vAlign w:val="bottom"/>
          </w:tcPr>
          <w:p>
            <w:pPr>
              <w:spacing w:after="0"/>
              <w:rPr>
                <w:sz w:val="24"/>
                <w:szCs w:val="24"/>
                <w:color w:val="auto"/>
              </w:rPr>
            </w:pPr>
          </w:p>
        </w:tc>
      </w:tr>
      <w:tr>
        <w:trPr>
          <w:trHeight w:val="195"/>
        </w:trPr>
        <w:tc>
          <w:tcPr>
            <w:tcW w:w="34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72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Douglas Friedman</w:t>
            </w:r>
          </w:p>
        </w:tc>
        <w:tc>
          <w:tcPr>
            <w:tcW w:w="40" w:type="dxa"/>
            <w:vAlign w:val="bottom"/>
          </w:tcPr>
          <w:p>
            <w:pPr>
              <w:spacing w:after="0"/>
              <w:rPr>
                <w:sz w:val="16"/>
                <w:szCs w:val="16"/>
                <w:color w:val="auto"/>
              </w:rPr>
            </w:pPr>
          </w:p>
        </w:tc>
      </w:tr>
      <w:tr>
        <w:trPr>
          <w:trHeight w:val="230"/>
        </w:trPr>
        <w:tc>
          <w:tcPr>
            <w:tcW w:w="34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Pr>
          <w:p>
            <w:pPr>
              <w:ind w:left="140"/>
              <w:spacing w:after="0"/>
              <w:rPr>
                <w:sz w:val="20"/>
                <w:szCs w:val="20"/>
                <w:color w:val="auto"/>
              </w:rPr>
            </w:pPr>
            <w:r>
              <w:rPr>
                <w:rFonts w:ascii="Arial" w:cs="Arial" w:eastAsia="Arial" w:hAnsi="Arial"/>
                <w:sz w:val="18"/>
                <w:szCs w:val="18"/>
                <w:color w:val="auto"/>
              </w:rPr>
              <w:t>General Counsel</w:t>
            </w:r>
          </w:p>
        </w:tc>
        <w:tc>
          <w:tcPr>
            <w:tcW w:w="40" w:type="dxa"/>
            <w:vAlign w:val="bottom"/>
          </w:tcPr>
          <w:p>
            <w:pPr>
              <w:spacing w:after="0"/>
              <w:rPr>
                <w:sz w:val="20"/>
                <w:szCs w:val="20"/>
                <w:color w:val="auto"/>
              </w:rPr>
            </w:pPr>
          </w:p>
        </w:tc>
      </w:tr>
      <w:tr>
        <w:trPr>
          <w:trHeight w:val="432"/>
        </w:trPr>
        <w:tc>
          <w:tcPr>
            <w:tcW w:w="3480" w:type="dxa"/>
            <w:vAlign w:val="bottom"/>
          </w:tcPr>
          <w:p>
            <w:pPr>
              <w:spacing w:after="0"/>
              <w:rPr>
                <w:sz w:val="24"/>
                <w:szCs w:val="24"/>
                <w:color w:val="auto"/>
              </w:rPr>
            </w:pPr>
          </w:p>
        </w:tc>
        <w:tc>
          <w:tcPr>
            <w:tcW w:w="2600" w:type="dxa"/>
            <w:vAlign w:val="bottom"/>
          </w:tcPr>
          <w:p>
            <w:pPr>
              <w:jc w:val="right"/>
              <w:ind w:right="230"/>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480" w:type="dxa"/>
            <w:vAlign w:val="bottom"/>
            <w:tcBorders>
              <w:bottom w:val="single" w:sz="8" w:color="808080"/>
            </w:tcBorders>
          </w:tcPr>
          <w:p>
            <w:pPr>
              <w:spacing w:after="0"/>
              <w:rPr>
                <w:sz w:val="11"/>
                <w:szCs w:val="11"/>
                <w:color w:val="auto"/>
              </w:rPr>
            </w:pPr>
          </w:p>
        </w:tc>
        <w:tc>
          <w:tcPr>
            <w:tcW w:w="260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139700</wp:posOffset>
            </wp:positionV>
            <wp:extent cx="100330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0330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NEWS RELEASE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REPORTS FIRST QUARTER 2019 FINANCIAL RESULTS</w:t>
      </w:r>
    </w:p>
    <w:p>
      <w:pPr>
        <w:spacing w:after="0" w:line="202" w:lineRule="exact"/>
        <w:rPr>
          <w:sz w:val="20"/>
          <w:szCs w:val="20"/>
          <w:color w:val="auto"/>
        </w:rPr>
      </w:pPr>
    </w:p>
    <w:p>
      <w:pPr>
        <w:ind w:left="2960"/>
        <w:spacing w:after="0"/>
        <w:rPr>
          <w:sz w:val="20"/>
          <w:szCs w:val="20"/>
          <w:color w:val="auto"/>
        </w:rPr>
      </w:pPr>
      <w:r>
        <w:rPr>
          <w:rFonts w:ascii="Arial" w:cs="Arial" w:eastAsia="Arial" w:hAnsi="Arial"/>
          <w:sz w:val="18"/>
          <w:szCs w:val="18"/>
          <w:b w:val="1"/>
          <w:bCs w:val="1"/>
          <w:i w:val="1"/>
          <w:iCs w:val="1"/>
          <w:color w:val="auto"/>
        </w:rPr>
        <w:t>A new quarterly record for average daily volume of $646.6 billion</w:t>
      </w:r>
    </w:p>
    <w:p>
      <w:pPr>
        <w:spacing w:after="0" w:line="198" w:lineRule="exact"/>
        <w:rPr>
          <w:sz w:val="20"/>
          <w:szCs w:val="20"/>
          <w:color w:val="auto"/>
        </w:rPr>
      </w:pPr>
    </w:p>
    <w:p>
      <w:pPr>
        <w:ind w:left="3120"/>
        <w:spacing w:after="0"/>
        <w:rPr>
          <w:sz w:val="20"/>
          <w:szCs w:val="20"/>
          <w:color w:val="auto"/>
        </w:rPr>
      </w:pPr>
      <w:r>
        <w:rPr>
          <w:rFonts w:ascii="Arial" w:cs="Arial" w:eastAsia="Arial" w:hAnsi="Arial"/>
          <w:sz w:val="18"/>
          <w:szCs w:val="18"/>
          <w:b w:val="1"/>
          <w:bCs w:val="1"/>
          <w:i w:val="1"/>
          <w:iCs w:val="1"/>
          <w:color w:val="auto"/>
        </w:rPr>
        <w:t>Record quarterly revenues of $186.8 million increased 10.2%</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(12.6% on a constant currency basis)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Net income of $42.4 million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Adjusted EBITDA margin of 43.0%</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Declared first quarterly cash dividend of $0.08 per share</w:t>
      </w:r>
    </w:p>
    <w:p>
      <w:pPr>
        <w:spacing w:after="0" w:line="220"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NEW YORK – May 9, 2019 – Tradeweb Markets Inc. (Nasdaq: TW), a leading, global operator of electronic marketplaces for rates, credit, equities and money markets, today reported financial results for the quarter ended March 31, 2019.</w:t>
      </w:r>
      <w:r>
        <w:rPr>
          <w:rFonts w:ascii="Arial" w:cs="Arial" w:eastAsia="Arial" w:hAnsi="Arial"/>
          <w:sz w:val="18"/>
          <w:szCs w:val="18"/>
          <w:color w:val="auto"/>
          <w:vertAlign w:val="superscript"/>
        </w:rPr>
        <w:t>1</w:t>
      </w:r>
    </w:p>
    <w:p>
      <w:pPr>
        <w:spacing w:after="0" w:line="183"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Lee Olesky, Chief Executive Officer of Tradeweb Markets, said, “The global fixed income market is digitizing and, along with it, creating greater demand for electronic trading and market data. Tradeweb’s compelling performance in the first quarter of 2019 reflects our diversification across a number of growth markets. Client trading activity drove double-digit revenue increases in rates, credit, equities and money markets trading. Broader distribution drove growth in market data. We’re excited to recently make our debut as a public company and continue working in collaboration with clients during a time of such sweeping shifts in the markets.”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Highlights</w:t>
      </w:r>
    </w:p>
    <w:p>
      <w:pPr>
        <w:spacing w:after="0" w:line="18"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new quarterly record for average daily volume (“ADV”) of $646.6 billion represented an increase of 21.0%</w:t>
      </w:r>
    </w:p>
    <w:p>
      <w:pPr>
        <w:spacing w:after="0" w:line="9" w:lineRule="exact"/>
        <w:rPr>
          <w:rFonts w:ascii="Arial" w:cs="Arial" w:eastAsia="Arial" w:hAnsi="Arial"/>
          <w:sz w:val="18"/>
          <w:szCs w:val="18"/>
          <w:color w:val="auto"/>
        </w:rPr>
      </w:pPr>
    </w:p>
    <w:p>
      <w:pPr>
        <w:ind w:left="660" w:right="200" w:hanging="328"/>
        <w:spacing w:after="0" w:line="242" w:lineRule="auto"/>
        <w:tabs>
          <w:tab w:leader="none" w:pos="669" w:val="left"/>
        </w:tabs>
        <w:numPr>
          <w:ilvl w:val="0"/>
          <w:numId w:val="2"/>
        </w:numPr>
        <w:rPr>
          <w:rFonts w:ascii="Arial" w:cs="Arial" w:eastAsia="Arial" w:hAnsi="Arial"/>
          <w:sz w:val="18"/>
          <w:szCs w:val="18"/>
          <w:color w:val="auto"/>
        </w:rPr>
      </w:pPr>
      <w:r>
        <w:rPr>
          <w:rFonts w:ascii="Arial" w:cs="Arial" w:eastAsia="Arial" w:hAnsi="Arial"/>
          <w:sz w:val="18"/>
          <w:szCs w:val="18"/>
          <w:color w:val="auto"/>
        </w:rPr>
        <w:t>New quarterly records for ADV in numerous products, including U.S. Treasuries, TBA mortgage-backed securities, European interest rate swaps, U.S. high-grade credit, Chinese bonds and European ETFs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During the quarter, U.S. high-grade credit volume accounted for 11.2% of total TRACE volume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Double-digit increases in revenues from rates, credit, equities and money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income of $42.4 million and net income per diluted share of $0.19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EBITDA margin of 43.0% for the quarter</w:t>
      </w:r>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Gross revenue increased 10.2% (12.6% on a constant currency basis) to a record $ 186.8 million for the first quarter of 2019 from $169.5 million for the first quarter of 2018. Net income decreased 6.5% to $42.4 million for the first quarter of 2019 from $45.3 million from the first quarter of 2018. Net income per diluted share was $0.19 for the first quarter of 2019 compared to $0.21 for the first quarter of 2018. First quarter 2019 results were impacted by higher depreciation and amortization expense as a result of the Refinitiv Transaction and the resulting revaluation of our balance sheet.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increased 10.5% to $80.3 million with an Adjusted EBITDA margin of 43.0% for the first quarter of 2019 compared to an</w:t>
      </w:r>
    </w:p>
    <w:p>
      <w:pPr>
        <w:spacing w:after="0" w:line="234" w:lineRule="auto"/>
        <w:rPr>
          <w:sz w:val="20"/>
          <w:szCs w:val="20"/>
          <w:color w:val="auto"/>
        </w:rPr>
      </w:pPr>
      <w:r>
        <w:rPr>
          <w:rFonts w:ascii="Arial" w:cs="Arial" w:eastAsia="Arial" w:hAnsi="Arial"/>
          <w:sz w:val="18"/>
          <w:szCs w:val="18"/>
          <w:color w:val="auto"/>
        </w:rPr>
        <w:t>Adjusted EBITDA margin of 42.9% for the first quarter of 2018 (on a constant currency basis, Adjusted EBITDA margin increased almost 80</w:t>
      </w:r>
    </w:p>
    <w:p>
      <w:pPr>
        <w:spacing w:after="0" w:line="235" w:lineRule="auto"/>
        <w:rPr>
          <w:sz w:val="20"/>
          <w:szCs w:val="20"/>
          <w:color w:val="auto"/>
        </w:rPr>
      </w:pPr>
      <w:r>
        <w:rPr>
          <w:rFonts w:ascii="Arial" w:cs="Arial" w:eastAsia="Arial" w:hAnsi="Arial"/>
          <w:sz w:val="18"/>
          <w:szCs w:val="18"/>
          <w:color w:val="auto"/>
        </w:rPr>
        <w:t>basis points compared to the first quarter of 2018). Adjusted Net Income increased 11.9% to $52.2 million for the first quarter of 2019 from</w:t>
      </w:r>
    </w:p>
    <w:p>
      <w:pPr>
        <w:spacing w:after="0" w:line="235" w:lineRule="auto"/>
        <w:rPr>
          <w:sz w:val="20"/>
          <w:szCs w:val="20"/>
          <w:color w:val="auto"/>
        </w:rPr>
      </w:pPr>
      <w:r>
        <w:rPr>
          <w:rFonts w:ascii="Arial" w:cs="Arial" w:eastAsia="Arial" w:hAnsi="Arial"/>
          <w:sz w:val="18"/>
          <w:szCs w:val="18"/>
          <w:color w:val="auto"/>
        </w:rPr>
        <w:t>$46.7 million for the first quarter of 2018. Adjusted Net Income per diluted share (“Adjusted Diluted EPS”) was $0.23 for the first quarter of 2019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compared to $0.22 for the first quarter of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right="80" w:firstLine="8"/>
        <w:spacing w:after="0" w:line="242" w:lineRule="auto"/>
        <w:tabs>
          <w:tab w:leader="none" w:pos="97" w:val="left"/>
        </w:tabs>
        <w:numPr>
          <w:ilvl w:val="0"/>
          <w:numId w:val="3"/>
        </w:numPr>
        <w:rPr>
          <w:rFonts w:ascii="Arial" w:cs="Arial" w:eastAsia="Arial" w:hAnsi="Arial"/>
          <w:sz w:val="22"/>
          <w:szCs w:val="22"/>
          <w:color w:val="auto"/>
          <w:vertAlign w:val="superscript"/>
        </w:rPr>
      </w:pPr>
      <w:r>
        <w:rPr>
          <w:rFonts w:ascii="Arial" w:cs="Arial" w:eastAsia="Arial" w:hAnsi="Arial"/>
          <w:sz w:val="14"/>
          <w:szCs w:val="14"/>
          <w:color w:val="auto"/>
        </w:rPr>
        <w:t>The financial results presented herein are for Tradeweb Markets LLC and its subsidiaries, the predecessor of Tradeweb Markets Inc. For an explanation of the financial reporting of historical results see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tbl>
      <w:tblPr>
        <w:tblLayout w:type="fixed"/>
        <w:tblInd w:w="120" w:type="dxa"/>
        <w:tblCellMar>
          <w:top w:w="0" w:type="dxa"/>
          <w:left w:w="0" w:type="dxa"/>
          <w:bottom w:w="0" w:type="dxa"/>
          <w:right w:w="0" w:type="dxa"/>
        </w:tblCellMar>
      </w:tblPr>
      <w:tr>
        <w:trPr>
          <w:trHeight w:val="23"/>
        </w:trPr>
        <w:tc>
          <w:tcPr>
            <w:tcW w:w="3880" w:type="dxa"/>
            <w:vAlign w:val="bottom"/>
            <w:vMerge w:val="restart"/>
          </w:tcPr>
          <w:p>
            <w:pPr>
              <w:spacing w:after="0"/>
              <w:rPr>
                <w:sz w:val="20"/>
                <w:szCs w:val="20"/>
                <w:color w:val="auto"/>
              </w:rPr>
            </w:pPr>
            <w:r>
              <w:rPr>
                <w:rFonts w:ascii="Arial" w:cs="Arial" w:eastAsia="Arial" w:hAnsi="Arial"/>
                <w:sz w:val="18"/>
                <w:szCs w:val="18"/>
                <w:b w:val="1"/>
                <w:bCs w:val="1"/>
                <w:color w:val="auto"/>
              </w:rPr>
              <w:t>Select Financial Results (in $</w:t>
            </w:r>
          </w:p>
        </w:tc>
        <w:tc>
          <w:tcPr>
            <w:tcW w:w="2200" w:type="dxa"/>
            <w:vAlign w:val="bottom"/>
            <w:gridSpan w:val="3"/>
            <w:vMerge w:val="restart"/>
          </w:tcPr>
          <w:p>
            <w:pPr>
              <w:jc w:val="right"/>
              <w:ind w:right="360"/>
              <w:spacing w:after="0"/>
              <w:rPr>
                <w:sz w:val="20"/>
                <w:szCs w:val="20"/>
                <w:color w:val="auto"/>
              </w:rPr>
            </w:pPr>
            <w:r>
              <w:rPr>
                <w:rFonts w:ascii="Arial" w:cs="Arial" w:eastAsia="Arial" w:hAnsi="Arial"/>
                <w:sz w:val="18"/>
                <w:szCs w:val="18"/>
                <w:b w:val="1"/>
                <w:bCs w:val="1"/>
                <w:color w:val="auto"/>
              </w:rPr>
              <w:t>Successor</w:t>
            </w:r>
            <w:r>
              <w:rPr>
                <w:rFonts w:ascii="Arial" w:cs="Arial" w:eastAsia="Arial" w:hAnsi="Arial"/>
                <w:sz w:val="10"/>
                <w:szCs w:val="10"/>
                <w:color w:val="auto"/>
              </w:rPr>
              <w:t>1</w:t>
            </w:r>
          </w:p>
        </w:tc>
        <w:tc>
          <w:tcPr>
            <w:tcW w:w="20" w:type="dxa"/>
            <w:vAlign w:val="bottom"/>
          </w:tcPr>
          <w:p>
            <w:pPr>
              <w:spacing w:after="0" w:line="20" w:lineRule="exact"/>
              <w:rPr>
                <w:sz w:val="1"/>
                <w:szCs w:val="1"/>
                <w:color w:val="auto"/>
              </w:rPr>
            </w:pPr>
          </w:p>
        </w:tc>
        <w:tc>
          <w:tcPr>
            <w:tcW w:w="2260" w:type="dxa"/>
            <w:vAlign w:val="bottom"/>
            <w:gridSpan w:val="3"/>
            <w:vMerge w:val="restart"/>
          </w:tcPr>
          <w:p>
            <w:pPr>
              <w:jc w:val="right"/>
              <w:ind w:right="720"/>
              <w:spacing w:after="0"/>
              <w:rPr>
                <w:sz w:val="20"/>
                <w:szCs w:val="20"/>
                <w:color w:val="auto"/>
              </w:rPr>
            </w:pPr>
            <w:r>
              <w:rPr>
                <w:rFonts w:ascii="Arial" w:cs="Arial" w:eastAsia="Arial" w:hAnsi="Arial"/>
                <w:sz w:val="18"/>
                <w:szCs w:val="18"/>
                <w:b w:val="1"/>
                <w:bCs w:val="1"/>
                <w:color w:val="auto"/>
              </w:rPr>
              <w:t>Predecessor</w:t>
            </w:r>
            <w:r>
              <w:rPr>
                <w:rFonts w:ascii="Arial" w:cs="Arial" w:eastAsia="Arial" w:hAnsi="Arial"/>
                <w:sz w:val="10"/>
                <w:szCs w:val="10"/>
                <w:color w:val="auto"/>
              </w:rPr>
              <w:t>1</w:t>
            </w:r>
          </w:p>
        </w:tc>
        <w:tc>
          <w:tcPr>
            <w:tcW w:w="1440" w:type="dxa"/>
            <w:vAlign w:val="bottom"/>
            <w:gridSpan w:val="2"/>
            <w:vMerge w:val="restart"/>
          </w:tcPr>
          <w:p>
            <w:pPr>
              <w:jc w:val="right"/>
              <w:ind w:right="560"/>
              <w:spacing w:after="0"/>
              <w:rPr>
                <w:sz w:val="20"/>
                <w:szCs w:val="20"/>
                <w:color w:val="auto"/>
              </w:rPr>
            </w:pPr>
            <w:r>
              <w:rPr>
                <w:rFonts w:ascii="Arial" w:cs="Arial" w:eastAsia="Arial" w:hAnsi="Arial"/>
                <w:sz w:val="18"/>
                <w:szCs w:val="18"/>
                <w:b w:val="1"/>
                <w:bCs w:val="1"/>
                <w:color w:val="auto"/>
                <w:w w:val="98"/>
              </w:rPr>
              <w:t>% Change</w:t>
            </w:r>
          </w:p>
        </w:tc>
        <w:tc>
          <w:tcPr>
            <w:tcW w:w="150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w w:val="99"/>
              </w:rPr>
              <w:t>Constant</w:t>
            </w:r>
          </w:p>
        </w:tc>
        <w:tc>
          <w:tcPr>
            <w:tcW w:w="0" w:type="dxa"/>
            <w:vAlign w:val="bottom"/>
          </w:tcPr>
          <w:p>
            <w:pPr>
              <w:spacing w:after="0" w:line="20" w:lineRule="exact"/>
              <w:rPr>
                <w:sz w:val="1"/>
                <w:szCs w:val="1"/>
                <w:color w:val="auto"/>
              </w:rPr>
            </w:pPr>
          </w:p>
        </w:tc>
      </w:tr>
      <w:tr>
        <w:trPr>
          <w:trHeight w:val="257"/>
        </w:trPr>
        <w:tc>
          <w:tcPr>
            <w:tcW w:w="3880" w:type="dxa"/>
            <w:vAlign w:val="bottom"/>
            <w:vMerge w:val="continue"/>
          </w:tcPr>
          <w:p>
            <w:pPr>
              <w:spacing w:after="0"/>
              <w:rPr>
                <w:sz w:val="22"/>
                <w:szCs w:val="22"/>
                <w:color w:val="auto"/>
              </w:rPr>
            </w:pPr>
          </w:p>
        </w:tc>
        <w:tc>
          <w:tcPr>
            <w:tcW w:w="2200" w:type="dxa"/>
            <w:vAlign w:val="bottom"/>
            <w:gridSpan w:val="3"/>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2260" w:type="dxa"/>
            <w:vAlign w:val="bottom"/>
            <w:gridSpan w:val="3"/>
            <w:vMerge w:val="continue"/>
          </w:tcPr>
          <w:p>
            <w:pPr>
              <w:spacing w:after="0"/>
              <w:rPr>
                <w:sz w:val="22"/>
                <w:szCs w:val="22"/>
                <w:color w:val="auto"/>
              </w:rPr>
            </w:pPr>
          </w:p>
        </w:tc>
        <w:tc>
          <w:tcPr>
            <w:tcW w:w="1440" w:type="dxa"/>
            <w:vAlign w:val="bottom"/>
            <w:gridSpan w:val="2"/>
            <w:vMerge w:val="continue"/>
          </w:tcPr>
          <w:p>
            <w:pPr>
              <w:spacing w:after="0"/>
              <w:rPr>
                <w:sz w:val="22"/>
                <w:szCs w:val="22"/>
                <w:color w:val="auto"/>
              </w:rPr>
            </w:pPr>
          </w:p>
        </w:tc>
        <w:tc>
          <w:tcPr>
            <w:tcW w:w="150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880" w:type="dxa"/>
            <w:vAlign w:val="bottom"/>
            <w:vMerge w:val="restart"/>
          </w:tcPr>
          <w:p>
            <w:pPr>
              <w:spacing w:after="0"/>
              <w:rPr>
                <w:sz w:val="20"/>
                <w:szCs w:val="20"/>
                <w:color w:val="auto"/>
              </w:rPr>
            </w:pPr>
            <w:r>
              <w:rPr>
                <w:rFonts w:ascii="Arial" w:cs="Arial" w:eastAsia="Arial" w:hAnsi="Arial"/>
                <w:sz w:val="18"/>
                <w:szCs w:val="18"/>
                <w:b w:val="1"/>
                <w:bCs w:val="1"/>
                <w:color w:val="auto"/>
              </w:rPr>
              <w:t>millions except per share amounts)</w:t>
            </w:r>
          </w:p>
        </w:tc>
        <w:tc>
          <w:tcPr>
            <w:tcW w:w="1140" w:type="dxa"/>
            <w:vAlign w:val="bottom"/>
          </w:tcPr>
          <w:p>
            <w:pPr>
              <w:spacing w:after="0"/>
              <w:rPr>
                <w:sz w:val="10"/>
                <w:szCs w:val="10"/>
                <w:color w:val="auto"/>
              </w:rPr>
            </w:pPr>
          </w:p>
        </w:tc>
        <w:tc>
          <w:tcPr>
            <w:tcW w:w="1060" w:type="dxa"/>
            <w:vAlign w:val="bottom"/>
            <w:gridSpan w:val="2"/>
            <w:vMerge w:val="restart"/>
          </w:tcPr>
          <w:p>
            <w:pPr>
              <w:jc w:val="right"/>
              <w:ind w:right="620"/>
              <w:spacing w:after="0"/>
              <w:rPr>
                <w:sz w:val="20"/>
                <w:szCs w:val="20"/>
                <w:color w:val="auto"/>
              </w:rPr>
            </w:pPr>
            <w:r>
              <w:rPr>
                <w:rFonts w:ascii="Arial" w:cs="Arial" w:eastAsia="Arial" w:hAnsi="Arial"/>
                <w:sz w:val="18"/>
                <w:szCs w:val="18"/>
                <w:b w:val="1"/>
                <w:bCs w:val="1"/>
                <w:color w:val="auto"/>
                <w:w w:val="95"/>
              </w:rPr>
              <w:t>1Q19</w:t>
            </w:r>
          </w:p>
        </w:tc>
        <w:tc>
          <w:tcPr>
            <w:tcW w:w="20" w:type="dxa"/>
            <w:vAlign w:val="bottom"/>
            <w:shd w:val="clear" w:color="auto" w:fill="000000"/>
          </w:tcPr>
          <w:p>
            <w:pPr>
              <w:spacing w:after="0"/>
              <w:rPr>
                <w:sz w:val="10"/>
                <w:szCs w:val="10"/>
                <w:color w:val="auto"/>
              </w:rPr>
            </w:pPr>
          </w:p>
        </w:tc>
        <w:tc>
          <w:tcPr>
            <w:tcW w:w="760" w:type="dxa"/>
            <w:vAlign w:val="bottom"/>
          </w:tcPr>
          <w:p>
            <w:pPr>
              <w:spacing w:after="0"/>
              <w:rPr>
                <w:sz w:val="10"/>
                <w:szCs w:val="10"/>
                <w:color w:val="auto"/>
              </w:rPr>
            </w:pPr>
          </w:p>
        </w:tc>
        <w:tc>
          <w:tcPr>
            <w:tcW w:w="1500" w:type="dxa"/>
            <w:vAlign w:val="bottom"/>
            <w:gridSpan w:val="2"/>
            <w:vMerge w:val="restart"/>
          </w:tcPr>
          <w:p>
            <w:pPr>
              <w:jc w:val="right"/>
              <w:ind w:right="1060"/>
              <w:spacing w:after="0"/>
              <w:rPr>
                <w:sz w:val="20"/>
                <w:szCs w:val="20"/>
                <w:color w:val="auto"/>
              </w:rPr>
            </w:pPr>
            <w:r>
              <w:rPr>
                <w:rFonts w:ascii="Arial" w:cs="Arial" w:eastAsia="Arial" w:hAnsi="Arial"/>
                <w:sz w:val="18"/>
                <w:szCs w:val="18"/>
                <w:b w:val="1"/>
                <w:bCs w:val="1"/>
                <w:color w:val="auto"/>
                <w:w w:val="95"/>
              </w:rPr>
              <w:t>1Q18</w:t>
            </w:r>
          </w:p>
        </w:tc>
        <w:tc>
          <w:tcPr>
            <w:tcW w:w="1440" w:type="dxa"/>
            <w:vAlign w:val="bottom"/>
            <w:gridSpan w:val="2"/>
            <w:vMerge w:val="continue"/>
          </w:tcPr>
          <w:p>
            <w:pPr>
              <w:spacing w:after="0"/>
              <w:rPr>
                <w:sz w:val="10"/>
                <w:szCs w:val="10"/>
                <w:color w:val="auto"/>
              </w:rPr>
            </w:pPr>
          </w:p>
        </w:tc>
        <w:tc>
          <w:tcPr>
            <w:tcW w:w="1500" w:type="dxa"/>
            <w:vAlign w:val="bottom"/>
            <w:gridSpan w:val="3"/>
          </w:tcPr>
          <w:p>
            <w:pPr>
              <w:jc w:val="center"/>
              <w:ind w:right="80"/>
              <w:spacing w:after="0" w:line="122" w:lineRule="exact"/>
              <w:rPr>
                <w:sz w:val="20"/>
                <w:szCs w:val="20"/>
                <w:color w:val="auto"/>
              </w:rPr>
            </w:pPr>
            <w:r>
              <w:rPr>
                <w:rFonts w:ascii="Arial" w:cs="Arial" w:eastAsia="Arial" w:hAnsi="Arial"/>
                <w:sz w:val="14"/>
                <w:szCs w:val="14"/>
                <w:b w:val="1"/>
                <w:bCs w:val="1"/>
                <w:color w:val="auto"/>
              </w:rPr>
              <w:t>Currency</w:t>
            </w:r>
          </w:p>
        </w:tc>
        <w:tc>
          <w:tcPr>
            <w:tcW w:w="0" w:type="dxa"/>
            <w:vAlign w:val="bottom"/>
          </w:tcPr>
          <w:p>
            <w:pPr>
              <w:spacing w:after="0"/>
              <w:rPr>
                <w:sz w:val="1"/>
                <w:szCs w:val="1"/>
                <w:color w:val="auto"/>
              </w:rPr>
            </w:pPr>
          </w:p>
        </w:tc>
      </w:tr>
      <w:tr>
        <w:trPr>
          <w:trHeight w:val="75"/>
        </w:trPr>
        <w:tc>
          <w:tcPr>
            <w:tcW w:w="38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20" w:type="dxa"/>
            <w:vAlign w:val="bottom"/>
            <w:tcBorders>
              <w:top w:val="single" w:sz="8" w:color="auto"/>
            </w:tcBorders>
            <w:shd w:val="clear" w:color="auto" w:fill="000000"/>
          </w:tcPr>
          <w:p>
            <w:pPr>
              <w:spacing w:after="0"/>
              <w:rPr>
                <w:sz w:val="6"/>
                <w:szCs w:val="6"/>
                <w:color w:val="auto"/>
              </w:rPr>
            </w:pPr>
          </w:p>
        </w:tc>
        <w:tc>
          <w:tcPr>
            <w:tcW w:w="760" w:type="dxa"/>
            <w:vAlign w:val="bottom"/>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360" w:type="dxa"/>
            <w:vAlign w:val="bottom"/>
            <w:vMerge w:val="restart"/>
          </w:tcPr>
          <w:p>
            <w:pPr>
              <w:spacing w:after="0"/>
              <w:rPr>
                <w:sz w:val="6"/>
                <w:szCs w:val="6"/>
                <w:color w:val="auto"/>
              </w:rPr>
            </w:pPr>
          </w:p>
        </w:tc>
        <w:tc>
          <w:tcPr>
            <w:tcW w:w="1140" w:type="dxa"/>
            <w:vAlign w:val="bottom"/>
            <w:gridSpan w:val="2"/>
            <w:vMerge w:val="restart"/>
          </w:tcPr>
          <w:p>
            <w:pPr>
              <w:jc w:val="center"/>
              <w:ind w:right="440"/>
              <w:spacing w:after="0" w:line="182" w:lineRule="exact"/>
              <w:rPr>
                <w:sz w:val="20"/>
                <w:szCs w:val="20"/>
                <w:color w:val="auto"/>
              </w:rPr>
            </w:pPr>
            <w:r>
              <w:rPr>
                <w:rFonts w:ascii="Arial" w:cs="Arial" w:eastAsia="Arial" w:hAnsi="Arial"/>
                <w:sz w:val="18"/>
                <w:szCs w:val="18"/>
                <w:b w:val="1"/>
                <w:bCs w:val="1"/>
                <w:color w:val="auto"/>
              </w:rPr>
              <w:t>Growth</w:t>
            </w: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88"/>
        </w:trPr>
        <w:tc>
          <w:tcPr>
            <w:tcW w:w="38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Borders>
              <w:top w:val="single" w:sz="8" w:color="auto"/>
            </w:tcBorders>
            <w:shd w:val="clear" w:color="auto" w:fill="000000"/>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060" w:type="dxa"/>
            <w:vAlign w:val="bottom"/>
          </w:tcPr>
          <w:p>
            <w:pPr>
              <w:spacing w:after="0"/>
              <w:rPr>
                <w:sz w:val="7"/>
                <w:szCs w:val="7"/>
                <w:color w:val="auto"/>
              </w:rPr>
            </w:pPr>
          </w:p>
        </w:tc>
        <w:tc>
          <w:tcPr>
            <w:tcW w:w="8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3880" w:type="dxa"/>
            <w:vAlign w:val="bottom"/>
          </w:tcPr>
          <w:p>
            <w:pPr>
              <w:spacing w:after="0"/>
              <w:rPr>
                <w:sz w:val="20"/>
                <w:szCs w:val="20"/>
                <w:color w:val="auto"/>
              </w:rPr>
            </w:pPr>
            <w:r>
              <w:rPr>
                <w:rFonts w:ascii="Arial" w:cs="Arial" w:eastAsia="Arial" w:hAnsi="Arial"/>
                <w:sz w:val="18"/>
                <w:szCs w:val="18"/>
                <w:color w:val="auto"/>
              </w:rPr>
              <w:t>Gross revenue</w:t>
            </w:r>
          </w:p>
        </w:tc>
        <w:tc>
          <w:tcPr>
            <w:tcW w:w="2200" w:type="dxa"/>
            <w:vAlign w:val="bottom"/>
            <w:gridSpan w:val="3"/>
          </w:tcPr>
          <w:p>
            <w:pPr>
              <w:jc w:val="right"/>
              <w:ind w:right="120"/>
              <w:spacing w:after="0"/>
              <w:rPr>
                <w:sz w:val="20"/>
                <w:szCs w:val="20"/>
                <w:color w:val="auto"/>
              </w:rPr>
            </w:pPr>
            <w:r>
              <w:rPr>
                <w:rFonts w:ascii="Arial" w:cs="Arial" w:eastAsia="Arial" w:hAnsi="Arial"/>
                <w:sz w:val="18"/>
                <w:szCs w:val="18"/>
                <w:color w:val="auto"/>
              </w:rPr>
              <w:t>$186.8</w:t>
            </w:r>
          </w:p>
        </w:tc>
        <w:tc>
          <w:tcPr>
            <w:tcW w:w="20" w:type="dxa"/>
            <w:vAlign w:val="bottom"/>
            <w:shd w:val="clear" w:color="auto" w:fill="000000"/>
          </w:tcPr>
          <w:p>
            <w:pPr>
              <w:spacing w:after="0"/>
              <w:rPr>
                <w:sz w:val="24"/>
                <w:szCs w:val="24"/>
                <w:color w:val="auto"/>
              </w:rPr>
            </w:pPr>
          </w:p>
        </w:tc>
        <w:tc>
          <w:tcPr>
            <w:tcW w:w="2260" w:type="dxa"/>
            <w:vAlign w:val="bottom"/>
            <w:gridSpan w:val="3"/>
          </w:tcPr>
          <w:p>
            <w:pPr>
              <w:jc w:val="right"/>
              <w:ind w:right="460"/>
              <w:spacing w:after="0"/>
              <w:rPr>
                <w:sz w:val="20"/>
                <w:szCs w:val="20"/>
                <w:color w:val="auto"/>
              </w:rPr>
            </w:pPr>
            <w:r>
              <w:rPr>
                <w:rFonts w:ascii="Arial" w:cs="Arial" w:eastAsia="Arial" w:hAnsi="Arial"/>
                <w:sz w:val="18"/>
                <w:szCs w:val="18"/>
                <w:color w:val="auto"/>
              </w:rPr>
              <w:t>$169.5</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10.2%</w:t>
            </w:r>
          </w:p>
        </w:tc>
        <w:tc>
          <w:tcPr>
            <w:tcW w:w="3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3"/>
        </w:trPr>
        <w:tc>
          <w:tcPr>
            <w:tcW w:w="3880" w:type="dxa"/>
            <w:vAlign w:val="bottom"/>
          </w:tcPr>
          <w:p>
            <w:pPr>
              <w:ind w:left="120"/>
              <w:spacing w:after="0" w:line="202" w:lineRule="exact"/>
              <w:rPr>
                <w:sz w:val="20"/>
                <w:szCs w:val="20"/>
                <w:color w:val="auto"/>
              </w:rPr>
            </w:pPr>
            <w:r>
              <w:rPr>
                <w:rFonts w:ascii="Arial" w:cs="Arial" w:eastAsia="Arial" w:hAnsi="Arial"/>
                <w:sz w:val="18"/>
                <w:szCs w:val="18"/>
                <w:color w:val="auto"/>
              </w:rPr>
              <w:t>Rates</w:t>
            </w:r>
          </w:p>
        </w:tc>
        <w:tc>
          <w:tcPr>
            <w:tcW w:w="22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$104.1</w:t>
            </w:r>
          </w:p>
        </w:tc>
        <w:tc>
          <w:tcPr>
            <w:tcW w:w="20" w:type="dxa"/>
            <w:vAlign w:val="bottom"/>
            <w:shd w:val="clear" w:color="auto" w:fill="000000"/>
          </w:tcPr>
          <w:p>
            <w:pPr>
              <w:spacing w:after="0"/>
              <w:rPr>
                <w:sz w:val="17"/>
                <w:szCs w:val="17"/>
                <w:color w:val="auto"/>
              </w:rPr>
            </w:pPr>
          </w:p>
        </w:tc>
        <w:tc>
          <w:tcPr>
            <w:tcW w:w="226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$93.9</w:t>
            </w:r>
          </w:p>
        </w:tc>
        <w:tc>
          <w:tcPr>
            <w:tcW w:w="14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10.8%</w:t>
            </w:r>
          </w:p>
        </w:tc>
        <w:tc>
          <w:tcPr>
            <w:tcW w:w="15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3"/>
        </w:trPr>
        <w:tc>
          <w:tcPr>
            <w:tcW w:w="3880" w:type="dxa"/>
            <w:vAlign w:val="bottom"/>
          </w:tcPr>
          <w:p>
            <w:pPr>
              <w:ind w:left="120"/>
              <w:spacing w:after="0" w:line="202" w:lineRule="exact"/>
              <w:rPr>
                <w:sz w:val="20"/>
                <w:szCs w:val="20"/>
                <w:color w:val="auto"/>
              </w:rPr>
            </w:pPr>
            <w:r>
              <w:rPr>
                <w:rFonts w:ascii="Arial" w:cs="Arial" w:eastAsia="Arial" w:hAnsi="Arial"/>
                <w:sz w:val="18"/>
                <w:szCs w:val="18"/>
                <w:color w:val="auto"/>
              </w:rPr>
              <w:t>Credit</w:t>
            </w:r>
          </w:p>
        </w:tc>
        <w:tc>
          <w:tcPr>
            <w:tcW w:w="22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$39.4</w:t>
            </w:r>
          </w:p>
        </w:tc>
        <w:tc>
          <w:tcPr>
            <w:tcW w:w="20" w:type="dxa"/>
            <w:vAlign w:val="bottom"/>
            <w:shd w:val="clear" w:color="auto" w:fill="000000"/>
          </w:tcPr>
          <w:p>
            <w:pPr>
              <w:spacing w:after="0"/>
              <w:rPr>
                <w:sz w:val="17"/>
                <w:szCs w:val="17"/>
                <w:color w:val="auto"/>
              </w:rPr>
            </w:pPr>
          </w:p>
        </w:tc>
        <w:tc>
          <w:tcPr>
            <w:tcW w:w="226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$34.7</w:t>
            </w:r>
          </w:p>
        </w:tc>
        <w:tc>
          <w:tcPr>
            <w:tcW w:w="14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13.5%</w:t>
            </w:r>
          </w:p>
        </w:tc>
        <w:tc>
          <w:tcPr>
            <w:tcW w:w="15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3"/>
        </w:trPr>
        <w:tc>
          <w:tcPr>
            <w:tcW w:w="3880" w:type="dxa"/>
            <w:vAlign w:val="bottom"/>
          </w:tcPr>
          <w:p>
            <w:pPr>
              <w:ind w:left="120"/>
              <w:spacing w:after="0" w:line="202" w:lineRule="exact"/>
              <w:rPr>
                <w:sz w:val="20"/>
                <w:szCs w:val="20"/>
                <w:color w:val="auto"/>
              </w:rPr>
            </w:pPr>
            <w:r>
              <w:rPr>
                <w:rFonts w:ascii="Arial" w:cs="Arial" w:eastAsia="Arial" w:hAnsi="Arial"/>
                <w:sz w:val="18"/>
                <w:szCs w:val="18"/>
                <w:color w:val="auto"/>
              </w:rPr>
              <w:t>Equities</w:t>
            </w:r>
          </w:p>
        </w:tc>
        <w:tc>
          <w:tcPr>
            <w:tcW w:w="22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$11.8</w:t>
            </w:r>
          </w:p>
        </w:tc>
        <w:tc>
          <w:tcPr>
            <w:tcW w:w="20" w:type="dxa"/>
            <w:vAlign w:val="bottom"/>
            <w:shd w:val="clear" w:color="auto" w:fill="000000"/>
          </w:tcPr>
          <w:p>
            <w:pPr>
              <w:spacing w:after="0"/>
              <w:rPr>
                <w:sz w:val="17"/>
                <w:szCs w:val="17"/>
                <w:color w:val="auto"/>
              </w:rPr>
            </w:pPr>
          </w:p>
        </w:tc>
        <w:tc>
          <w:tcPr>
            <w:tcW w:w="226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$10.2</w:t>
            </w:r>
          </w:p>
        </w:tc>
        <w:tc>
          <w:tcPr>
            <w:tcW w:w="14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15.8%</w:t>
            </w:r>
          </w:p>
        </w:tc>
        <w:tc>
          <w:tcPr>
            <w:tcW w:w="15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3"/>
        </w:trPr>
        <w:tc>
          <w:tcPr>
            <w:tcW w:w="3880" w:type="dxa"/>
            <w:vAlign w:val="bottom"/>
          </w:tcPr>
          <w:p>
            <w:pPr>
              <w:ind w:left="120"/>
              <w:spacing w:after="0" w:line="202" w:lineRule="exact"/>
              <w:rPr>
                <w:sz w:val="20"/>
                <w:szCs w:val="20"/>
                <w:color w:val="auto"/>
              </w:rPr>
            </w:pPr>
            <w:r>
              <w:rPr>
                <w:rFonts w:ascii="Arial" w:cs="Arial" w:eastAsia="Arial" w:hAnsi="Arial"/>
                <w:sz w:val="18"/>
                <w:szCs w:val="18"/>
                <w:color w:val="auto"/>
              </w:rPr>
              <w:t>Money Markets</w:t>
            </w:r>
          </w:p>
        </w:tc>
        <w:tc>
          <w:tcPr>
            <w:tcW w:w="22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$9.6</w:t>
            </w:r>
          </w:p>
        </w:tc>
        <w:tc>
          <w:tcPr>
            <w:tcW w:w="20" w:type="dxa"/>
            <w:vAlign w:val="bottom"/>
            <w:shd w:val="clear" w:color="auto" w:fill="000000"/>
          </w:tcPr>
          <w:p>
            <w:pPr>
              <w:spacing w:after="0"/>
              <w:rPr>
                <w:sz w:val="17"/>
                <w:szCs w:val="17"/>
                <w:color w:val="auto"/>
              </w:rPr>
            </w:pPr>
          </w:p>
        </w:tc>
        <w:tc>
          <w:tcPr>
            <w:tcW w:w="226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$8.1</w:t>
            </w:r>
          </w:p>
        </w:tc>
        <w:tc>
          <w:tcPr>
            <w:tcW w:w="14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17.8%</w:t>
            </w:r>
          </w:p>
        </w:tc>
        <w:tc>
          <w:tcPr>
            <w:tcW w:w="15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3"/>
        </w:trPr>
        <w:tc>
          <w:tcPr>
            <w:tcW w:w="3880" w:type="dxa"/>
            <w:vAlign w:val="bottom"/>
          </w:tcPr>
          <w:p>
            <w:pPr>
              <w:ind w:left="120"/>
              <w:spacing w:after="0" w:line="202" w:lineRule="exact"/>
              <w:rPr>
                <w:sz w:val="20"/>
                <w:szCs w:val="20"/>
                <w:color w:val="auto"/>
              </w:rPr>
            </w:pPr>
            <w:r>
              <w:rPr>
                <w:rFonts w:ascii="Arial" w:cs="Arial" w:eastAsia="Arial" w:hAnsi="Arial"/>
                <w:sz w:val="18"/>
                <w:szCs w:val="18"/>
                <w:color w:val="auto"/>
              </w:rPr>
              <w:t>Market Data</w:t>
            </w:r>
          </w:p>
        </w:tc>
        <w:tc>
          <w:tcPr>
            <w:tcW w:w="22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$16.9</w:t>
            </w:r>
          </w:p>
        </w:tc>
        <w:tc>
          <w:tcPr>
            <w:tcW w:w="20" w:type="dxa"/>
            <w:vAlign w:val="bottom"/>
            <w:shd w:val="clear" w:color="auto" w:fill="000000"/>
          </w:tcPr>
          <w:p>
            <w:pPr>
              <w:spacing w:after="0"/>
              <w:rPr>
                <w:sz w:val="17"/>
                <w:szCs w:val="17"/>
                <w:color w:val="auto"/>
              </w:rPr>
            </w:pPr>
          </w:p>
        </w:tc>
        <w:tc>
          <w:tcPr>
            <w:tcW w:w="226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$15.6</w:t>
            </w:r>
          </w:p>
        </w:tc>
        <w:tc>
          <w:tcPr>
            <w:tcW w:w="14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8.7%</w:t>
            </w:r>
          </w:p>
        </w:tc>
        <w:tc>
          <w:tcPr>
            <w:tcW w:w="15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3"/>
        </w:trPr>
        <w:tc>
          <w:tcPr>
            <w:tcW w:w="3880" w:type="dxa"/>
            <w:vAlign w:val="bottom"/>
          </w:tcPr>
          <w:p>
            <w:pPr>
              <w:ind w:left="120"/>
              <w:spacing w:after="0" w:line="202" w:lineRule="exact"/>
              <w:rPr>
                <w:sz w:val="20"/>
                <w:szCs w:val="20"/>
                <w:color w:val="auto"/>
              </w:rPr>
            </w:pPr>
            <w:r>
              <w:rPr>
                <w:rFonts w:ascii="Arial" w:cs="Arial" w:eastAsia="Arial" w:hAnsi="Arial"/>
                <w:sz w:val="18"/>
                <w:szCs w:val="18"/>
                <w:color w:val="auto"/>
              </w:rPr>
              <w:t>Other</w:t>
            </w:r>
          </w:p>
        </w:tc>
        <w:tc>
          <w:tcPr>
            <w:tcW w:w="22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$5.0</w:t>
            </w:r>
          </w:p>
        </w:tc>
        <w:tc>
          <w:tcPr>
            <w:tcW w:w="20" w:type="dxa"/>
            <w:vAlign w:val="bottom"/>
            <w:shd w:val="clear" w:color="auto" w:fill="000000"/>
          </w:tcPr>
          <w:p>
            <w:pPr>
              <w:spacing w:after="0"/>
              <w:rPr>
                <w:sz w:val="17"/>
                <w:szCs w:val="17"/>
                <w:color w:val="auto"/>
              </w:rPr>
            </w:pPr>
          </w:p>
        </w:tc>
        <w:tc>
          <w:tcPr>
            <w:tcW w:w="226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$7.0</w:t>
            </w:r>
          </w:p>
        </w:tc>
        <w:tc>
          <w:tcPr>
            <w:tcW w:w="14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(28.5%)</w:t>
            </w:r>
          </w:p>
        </w:tc>
        <w:tc>
          <w:tcPr>
            <w:tcW w:w="15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Net income</w:t>
            </w:r>
            <w:r>
              <w:rPr>
                <w:rFonts w:ascii="Arial" w:cs="Arial" w:eastAsia="Arial" w:hAnsi="Arial"/>
                <w:sz w:val="10"/>
                <w:szCs w:val="10"/>
                <w:color w:val="auto"/>
              </w:rPr>
              <w:t>3</w:t>
            </w:r>
          </w:p>
        </w:tc>
        <w:tc>
          <w:tcPr>
            <w:tcW w:w="22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$42.4</w:t>
            </w:r>
          </w:p>
        </w:tc>
        <w:tc>
          <w:tcPr>
            <w:tcW w:w="20" w:type="dxa"/>
            <w:vAlign w:val="bottom"/>
            <w:shd w:val="clear" w:color="auto" w:fill="000000"/>
          </w:tcPr>
          <w:p>
            <w:pPr>
              <w:spacing w:after="0"/>
              <w:rPr>
                <w:sz w:val="17"/>
                <w:szCs w:val="17"/>
                <w:color w:val="auto"/>
              </w:rPr>
            </w:pPr>
          </w:p>
        </w:tc>
        <w:tc>
          <w:tcPr>
            <w:tcW w:w="226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$45.3</w:t>
            </w:r>
          </w:p>
        </w:tc>
        <w:tc>
          <w:tcPr>
            <w:tcW w:w="14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(6.5%)</w:t>
            </w:r>
          </w:p>
        </w:tc>
        <w:tc>
          <w:tcPr>
            <w:tcW w:w="15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Diluted EPS</w:t>
            </w:r>
            <w:r>
              <w:rPr>
                <w:rFonts w:ascii="Arial" w:cs="Arial" w:eastAsia="Arial" w:hAnsi="Arial"/>
                <w:sz w:val="10"/>
                <w:szCs w:val="10"/>
                <w:color w:val="auto"/>
              </w:rPr>
              <w:t>3</w:t>
            </w:r>
          </w:p>
        </w:tc>
        <w:tc>
          <w:tcPr>
            <w:tcW w:w="22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$0.19</w:t>
            </w:r>
          </w:p>
        </w:tc>
        <w:tc>
          <w:tcPr>
            <w:tcW w:w="20" w:type="dxa"/>
            <w:vAlign w:val="bottom"/>
            <w:shd w:val="clear" w:color="auto" w:fill="000000"/>
          </w:tcPr>
          <w:p>
            <w:pPr>
              <w:spacing w:after="0"/>
              <w:rPr>
                <w:sz w:val="17"/>
                <w:szCs w:val="17"/>
                <w:color w:val="auto"/>
              </w:rPr>
            </w:pPr>
          </w:p>
        </w:tc>
        <w:tc>
          <w:tcPr>
            <w:tcW w:w="226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$0.21</w:t>
            </w:r>
          </w:p>
        </w:tc>
        <w:tc>
          <w:tcPr>
            <w:tcW w:w="14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(10.7%)</w:t>
            </w:r>
          </w:p>
        </w:tc>
        <w:tc>
          <w:tcPr>
            <w:tcW w:w="15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Adjusted EBITDA</w:t>
            </w:r>
            <w:r>
              <w:rPr>
                <w:rFonts w:ascii="Arial" w:cs="Arial" w:eastAsia="Arial" w:hAnsi="Arial"/>
                <w:sz w:val="10"/>
                <w:szCs w:val="10"/>
                <w:color w:val="auto"/>
              </w:rPr>
              <w:t>4</w:t>
            </w:r>
          </w:p>
        </w:tc>
        <w:tc>
          <w:tcPr>
            <w:tcW w:w="22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$80.3</w:t>
            </w:r>
          </w:p>
        </w:tc>
        <w:tc>
          <w:tcPr>
            <w:tcW w:w="20" w:type="dxa"/>
            <w:vAlign w:val="bottom"/>
            <w:shd w:val="clear" w:color="auto" w:fill="000000"/>
          </w:tcPr>
          <w:p>
            <w:pPr>
              <w:spacing w:after="0"/>
              <w:rPr>
                <w:sz w:val="17"/>
                <w:szCs w:val="17"/>
                <w:color w:val="auto"/>
              </w:rPr>
            </w:pPr>
          </w:p>
        </w:tc>
        <w:tc>
          <w:tcPr>
            <w:tcW w:w="226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$72.7</w:t>
            </w:r>
          </w:p>
        </w:tc>
        <w:tc>
          <w:tcPr>
            <w:tcW w:w="14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10.5%</w:t>
            </w:r>
          </w:p>
        </w:tc>
        <w:tc>
          <w:tcPr>
            <w:tcW w:w="15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Adjusted EBITDA margin</w:t>
            </w:r>
            <w:r>
              <w:rPr>
                <w:rFonts w:ascii="Arial" w:cs="Arial" w:eastAsia="Arial" w:hAnsi="Arial"/>
                <w:sz w:val="10"/>
                <w:szCs w:val="10"/>
                <w:color w:val="auto"/>
              </w:rPr>
              <w:t>4</w:t>
            </w:r>
          </w:p>
        </w:tc>
        <w:tc>
          <w:tcPr>
            <w:tcW w:w="22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43.0%</w:t>
            </w:r>
          </w:p>
        </w:tc>
        <w:tc>
          <w:tcPr>
            <w:tcW w:w="20" w:type="dxa"/>
            <w:vAlign w:val="bottom"/>
            <w:shd w:val="clear" w:color="auto" w:fill="000000"/>
          </w:tcPr>
          <w:p>
            <w:pPr>
              <w:spacing w:after="0"/>
              <w:rPr>
                <w:sz w:val="17"/>
                <w:szCs w:val="17"/>
                <w:color w:val="auto"/>
              </w:rPr>
            </w:pPr>
          </w:p>
        </w:tc>
        <w:tc>
          <w:tcPr>
            <w:tcW w:w="226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42.9%</w:t>
            </w:r>
          </w:p>
        </w:tc>
        <w:tc>
          <w:tcPr>
            <w:tcW w:w="14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+14 bps</w:t>
            </w:r>
          </w:p>
        </w:tc>
        <w:tc>
          <w:tcPr>
            <w:tcW w:w="36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+79 bps</w:t>
            </w:r>
          </w:p>
        </w:tc>
        <w:tc>
          <w:tcPr>
            <w:tcW w:w="0" w:type="dxa"/>
            <w:vAlign w:val="bottom"/>
          </w:tcPr>
          <w:p>
            <w:pPr>
              <w:spacing w:after="0"/>
              <w:rPr>
                <w:sz w:val="1"/>
                <w:szCs w:val="1"/>
                <w:color w:val="auto"/>
              </w:rPr>
            </w:pP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Adjusted Net Income</w:t>
            </w:r>
            <w:r>
              <w:rPr>
                <w:rFonts w:ascii="Arial" w:cs="Arial" w:eastAsia="Arial" w:hAnsi="Arial"/>
                <w:sz w:val="10"/>
                <w:szCs w:val="10"/>
                <w:color w:val="auto"/>
              </w:rPr>
              <w:t>4</w:t>
            </w:r>
          </w:p>
        </w:tc>
        <w:tc>
          <w:tcPr>
            <w:tcW w:w="22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$52.2</w:t>
            </w:r>
          </w:p>
        </w:tc>
        <w:tc>
          <w:tcPr>
            <w:tcW w:w="20" w:type="dxa"/>
            <w:vAlign w:val="bottom"/>
            <w:shd w:val="clear" w:color="auto" w:fill="000000"/>
          </w:tcPr>
          <w:p>
            <w:pPr>
              <w:spacing w:after="0"/>
              <w:rPr>
                <w:sz w:val="17"/>
                <w:szCs w:val="17"/>
                <w:color w:val="auto"/>
              </w:rPr>
            </w:pPr>
          </w:p>
        </w:tc>
        <w:tc>
          <w:tcPr>
            <w:tcW w:w="226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$46.7</w:t>
            </w:r>
          </w:p>
        </w:tc>
        <w:tc>
          <w:tcPr>
            <w:tcW w:w="14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11.9%</w:t>
            </w:r>
          </w:p>
        </w:tc>
        <w:tc>
          <w:tcPr>
            <w:tcW w:w="15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3"/>
        </w:trPr>
        <w:tc>
          <w:tcPr>
            <w:tcW w:w="3880" w:type="dxa"/>
            <w:vAlign w:val="bottom"/>
          </w:tcPr>
          <w:p>
            <w:pPr>
              <w:spacing w:after="0" w:line="203" w:lineRule="exact"/>
              <w:rPr>
                <w:sz w:val="20"/>
                <w:szCs w:val="20"/>
                <w:color w:val="auto"/>
              </w:rPr>
            </w:pPr>
            <w:r>
              <w:rPr>
                <w:rFonts w:ascii="Arial" w:cs="Arial" w:eastAsia="Arial" w:hAnsi="Arial"/>
                <w:sz w:val="18"/>
                <w:szCs w:val="18"/>
                <w:color w:val="auto"/>
              </w:rPr>
              <w:t>Adjusted Diluted EPS</w:t>
            </w:r>
            <w:r>
              <w:rPr>
                <w:rFonts w:ascii="Arial" w:cs="Arial" w:eastAsia="Arial" w:hAnsi="Arial"/>
                <w:sz w:val="10"/>
                <w:szCs w:val="10"/>
                <w:color w:val="auto"/>
              </w:rPr>
              <w:t>4</w:t>
            </w:r>
          </w:p>
        </w:tc>
        <w:tc>
          <w:tcPr>
            <w:tcW w:w="2200" w:type="dxa"/>
            <w:vAlign w:val="bottom"/>
            <w:gridSpan w:val="3"/>
          </w:tcPr>
          <w:p>
            <w:pPr>
              <w:jc w:val="right"/>
              <w:ind w:right="120"/>
              <w:spacing w:after="0" w:line="203" w:lineRule="exact"/>
              <w:rPr>
                <w:sz w:val="20"/>
                <w:szCs w:val="20"/>
                <w:color w:val="auto"/>
              </w:rPr>
            </w:pPr>
            <w:r>
              <w:rPr>
                <w:rFonts w:ascii="Arial" w:cs="Arial" w:eastAsia="Arial" w:hAnsi="Arial"/>
                <w:sz w:val="18"/>
                <w:szCs w:val="18"/>
                <w:color w:val="auto"/>
              </w:rPr>
              <w:t>$0.23</w:t>
            </w:r>
          </w:p>
        </w:tc>
        <w:tc>
          <w:tcPr>
            <w:tcW w:w="20" w:type="dxa"/>
            <w:vAlign w:val="bottom"/>
            <w:shd w:val="clear" w:color="auto" w:fill="000000"/>
          </w:tcPr>
          <w:p>
            <w:pPr>
              <w:spacing w:after="0"/>
              <w:rPr>
                <w:sz w:val="17"/>
                <w:szCs w:val="17"/>
                <w:color w:val="auto"/>
              </w:rPr>
            </w:pPr>
          </w:p>
        </w:tc>
        <w:tc>
          <w:tcPr>
            <w:tcW w:w="2260" w:type="dxa"/>
            <w:vAlign w:val="bottom"/>
            <w:gridSpan w:val="3"/>
          </w:tcPr>
          <w:p>
            <w:pPr>
              <w:jc w:val="right"/>
              <w:ind w:right="460"/>
              <w:spacing w:after="0" w:line="203" w:lineRule="exact"/>
              <w:rPr>
                <w:sz w:val="20"/>
                <w:szCs w:val="20"/>
                <w:color w:val="auto"/>
              </w:rPr>
            </w:pPr>
            <w:r>
              <w:rPr>
                <w:rFonts w:ascii="Arial" w:cs="Arial" w:eastAsia="Arial" w:hAnsi="Arial"/>
                <w:sz w:val="18"/>
                <w:szCs w:val="18"/>
                <w:color w:val="auto"/>
              </w:rPr>
              <w:t>$0.22</w:t>
            </w:r>
          </w:p>
        </w:tc>
        <w:tc>
          <w:tcPr>
            <w:tcW w:w="144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rPr>
              <w:t>6.9%</w:t>
            </w:r>
          </w:p>
        </w:tc>
        <w:tc>
          <w:tcPr>
            <w:tcW w:w="150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bl>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6400800</wp:posOffset>
            </wp:positionH>
            <wp:positionV relativeFrom="page">
              <wp:posOffset>217805</wp:posOffset>
            </wp:positionV>
            <wp:extent cx="1003300"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08610"/>
                    </a:xfrm>
                    <a:prstGeom prst="rect">
                      <a:avLst/>
                    </a:prstGeom>
                    <a:noFill/>
                  </pic:spPr>
                </pic:pic>
              </a:graphicData>
            </a:graphic>
          </wp:anchor>
        </w:drawing>
      </w:r>
    </w:p>
    <w:p>
      <w:pPr>
        <w:ind w:left="180" w:hanging="69"/>
        <w:spacing w:after="0"/>
        <w:tabs>
          <w:tab w:leader="none" w:pos="180" w:val="left"/>
        </w:tabs>
        <w:numPr>
          <w:ilvl w:val="0"/>
          <w:numId w:val="4"/>
        </w:numPr>
        <w:rPr>
          <w:rFonts w:ascii="Arial" w:cs="Arial" w:eastAsia="Arial" w:hAnsi="Arial"/>
          <w:sz w:val="14"/>
          <w:szCs w:val="14"/>
          <w:color w:val="auto"/>
          <w:vertAlign w:val="superscript"/>
        </w:rPr>
      </w:pPr>
      <w:r>
        <w:rPr>
          <w:rFonts w:ascii="Arial" w:cs="Arial" w:eastAsia="Arial" w:hAnsi="Arial"/>
          <w:sz w:val="14"/>
          <w:szCs w:val="14"/>
          <w:color w:val="auto"/>
        </w:rPr>
        <w:t>The financial results presented are for Tradeweb Markets LLC and its subsidiaries, the predecessor of Tradeweb Markets Inc. For an explanation of the financial reporting</w:t>
      </w:r>
    </w:p>
    <w:p>
      <w:pPr>
        <w:spacing w:after="0" w:line="82" w:lineRule="exact"/>
        <w:rPr>
          <w:rFonts w:ascii="Arial" w:cs="Arial" w:eastAsia="Arial" w:hAnsi="Arial"/>
          <w:sz w:val="14"/>
          <w:szCs w:val="14"/>
          <w:color w:val="auto"/>
          <w:vertAlign w:val="superscript"/>
        </w:rPr>
      </w:pPr>
    </w:p>
    <w:p>
      <w:pPr>
        <w:ind w:left="120"/>
        <w:spacing w:after="0"/>
        <w:rPr>
          <w:rFonts w:ascii="Arial" w:cs="Arial" w:eastAsia="Arial" w:hAnsi="Arial"/>
          <w:sz w:val="14"/>
          <w:szCs w:val="14"/>
          <w:color w:val="auto"/>
          <w:vertAlign w:val="superscript"/>
        </w:rPr>
      </w:pPr>
      <w:r>
        <w:rPr>
          <w:rFonts w:ascii="Arial" w:cs="Arial" w:eastAsia="Arial" w:hAnsi="Arial"/>
          <w:sz w:val="14"/>
          <w:szCs w:val="14"/>
          <w:color w:val="auto"/>
        </w:rPr>
        <w:t>of historical results see “Presentation.”</w:t>
      </w:r>
    </w:p>
    <w:p>
      <w:pPr>
        <w:spacing w:after="0" w:line="52" w:lineRule="exact"/>
        <w:rPr>
          <w:rFonts w:ascii="Arial" w:cs="Arial" w:eastAsia="Arial" w:hAnsi="Arial"/>
          <w:sz w:val="14"/>
          <w:szCs w:val="14"/>
          <w:color w:val="auto"/>
          <w:vertAlign w:val="superscript"/>
        </w:rPr>
      </w:pPr>
    </w:p>
    <w:p>
      <w:pPr>
        <w:ind w:left="120"/>
        <w:spacing w:after="0"/>
        <w:rPr>
          <w:rFonts w:ascii="Arial" w:cs="Arial" w:eastAsia="Arial" w:hAnsi="Arial"/>
          <w:sz w:val="14"/>
          <w:szCs w:val="14"/>
          <w:color w:val="auto"/>
          <w:vertAlign w:val="superscript"/>
        </w:rPr>
      </w:pPr>
      <w:r>
        <w:rPr>
          <w:rFonts w:ascii="Arial" w:cs="Arial" w:eastAsia="Arial" w:hAnsi="Arial"/>
          <w:sz w:val="14"/>
          <w:szCs w:val="14"/>
          <w:color w:val="auto"/>
          <w:vertAlign w:val="superscript"/>
        </w:rPr>
        <w:t>2</w:t>
      </w:r>
      <w:r>
        <w:rPr>
          <w:rFonts w:ascii="Arial" w:cs="Arial" w:eastAsia="Arial" w:hAnsi="Arial"/>
          <w:sz w:val="14"/>
          <w:szCs w:val="14"/>
          <w:color w:val="auto"/>
        </w:rPr>
        <w:t xml:space="preserve"> Constant currency growth is a non-GAAP financial measure that reflects growth for the period excluding the impact of foreign currency fluctuations. See “Non-GAAP</w:t>
      </w:r>
    </w:p>
    <w:p>
      <w:pPr>
        <w:spacing w:after="0" w:line="84" w:lineRule="exact"/>
        <w:rPr>
          <w:rFonts w:ascii="Arial" w:cs="Arial" w:eastAsia="Arial" w:hAnsi="Arial"/>
          <w:sz w:val="14"/>
          <w:szCs w:val="14"/>
          <w:color w:val="auto"/>
          <w:vertAlign w:val="superscript"/>
        </w:rPr>
      </w:pPr>
    </w:p>
    <w:p>
      <w:pPr>
        <w:ind w:left="120"/>
        <w:spacing w:after="0"/>
        <w:rPr>
          <w:rFonts w:ascii="Arial" w:cs="Arial" w:eastAsia="Arial" w:hAnsi="Arial"/>
          <w:sz w:val="14"/>
          <w:szCs w:val="14"/>
          <w:color w:val="auto"/>
          <w:vertAlign w:val="superscript"/>
        </w:rPr>
      </w:pPr>
      <w:r>
        <w:rPr>
          <w:rFonts w:ascii="Arial" w:cs="Arial" w:eastAsia="Arial" w:hAnsi="Arial"/>
          <w:sz w:val="14"/>
          <w:szCs w:val="14"/>
          <w:color w:val="auto"/>
        </w:rPr>
        <w:t>Financial Measures” for additional information.</w:t>
      </w:r>
    </w:p>
    <w:p>
      <w:pPr>
        <w:spacing w:after="0" w:line="52" w:lineRule="exact"/>
        <w:rPr>
          <w:rFonts w:ascii="Arial" w:cs="Arial" w:eastAsia="Arial" w:hAnsi="Arial"/>
          <w:sz w:val="14"/>
          <w:szCs w:val="14"/>
          <w:color w:val="auto"/>
          <w:vertAlign w:val="superscript"/>
        </w:rPr>
      </w:pPr>
    </w:p>
    <w:p>
      <w:pPr>
        <w:ind w:left="120"/>
        <w:spacing w:after="0"/>
        <w:rPr>
          <w:rFonts w:ascii="Arial" w:cs="Arial" w:eastAsia="Arial" w:hAnsi="Arial"/>
          <w:sz w:val="14"/>
          <w:szCs w:val="14"/>
          <w:color w:val="auto"/>
          <w:vertAlign w:val="superscript"/>
        </w:rPr>
      </w:pPr>
      <w:r>
        <w:rPr>
          <w:rFonts w:ascii="Arial" w:cs="Arial" w:eastAsia="Arial" w:hAnsi="Arial"/>
          <w:sz w:val="14"/>
          <w:szCs w:val="14"/>
          <w:color w:val="auto"/>
          <w:vertAlign w:val="superscript"/>
        </w:rPr>
        <w:t>3</w:t>
      </w:r>
      <w:r>
        <w:rPr>
          <w:rFonts w:ascii="Arial" w:cs="Arial" w:eastAsia="Arial" w:hAnsi="Arial"/>
          <w:sz w:val="14"/>
          <w:szCs w:val="14"/>
          <w:color w:val="auto"/>
        </w:rPr>
        <w:t xml:space="preserve"> Net income for the first quarter of 2019 included an additional depreciation and amortization expense of $16.7 million as a result of the Refinitiv Transaction and the</w:t>
      </w:r>
    </w:p>
    <w:p>
      <w:pPr>
        <w:spacing w:after="0" w:line="84" w:lineRule="exact"/>
        <w:rPr>
          <w:rFonts w:ascii="Arial" w:cs="Arial" w:eastAsia="Arial" w:hAnsi="Arial"/>
          <w:sz w:val="14"/>
          <w:szCs w:val="14"/>
          <w:color w:val="auto"/>
          <w:vertAlign w:val="superscript"/>
        </w:rPr>
      </w:pPr>
    </w:p>
    <w:p>
      <w:pPr>
        <w:ind w:left="120"/>
        <w:spacing w:after="0"/>
        <w:rPr>
          <w:rFonts w:ascii="Arial" w:cs="Arial" w:eastAsia="Arial" w:hAnsi="Arial"/>
          <w:sz w:val="14"/>
          <w:szCs w:val="14"/>
          <w:color w:val="auto"/>
          <w:vertAlign w:val="superscript"/>
        </w:rPr>
      </w:pPr>
      <w:r>
        <w:rPr>
          <w:rFonts w:ascii="Arial" w:cs="Arial" w:eastAsia="Arial" w:hAnsi="Arial"/>
          <w:sz w:val="14"/>
          <w:szCs w:val="14"/>
          <w:color w:val="auto"/>
        </w:rPr>
        <w:t>resulting revaluation of our balance sheet in the fourth quarter of 2018. See “Presentation” for additional information.</w:t>
      </w:r>
    </w:p>
    <w:p>
      <w:pPr>
        <w:spacing w:after="0" w:line="52" w:lineRule="exact"/>
        <w:rPr>
          <w:rFonts w:ascii="Arial" w:cs="Arial" w:eastAsia="Arial" w:hAnsi="Arial"/>
          <w:sz w:val="14"/>
          <w:szCs w:val="14"/>
          <w:color w:val="auto"/>
          <w:vertAlign w:val="superscript"/>
        </w:rPr>
      </w:pPr>
    </w:p>
    <w:p>
      <w:pPr>
        <w:ind w:left="120" w:right="360"/>
        <w:spacing w:after="0" w:line="382" w:lineRule="auto"/>
        <w:rPr>
          <w:rFonts w:ascii="Arial" w:cs="Arial" w:eastAsia="Arial" w:hAnsi="Arial"/>
          <w:sz w:val="14"/>
          <w:szCs w:val="14"/>
          <w:color w:val="auto"/>
          <w:vertAlign w:val="superscript"/>
        </w:rPr>
      </w:pPr>
      <w:r>
        <w:rPr>
          <w:rFonts w:ascii="Arial" w:cs="Arial" w:eastAsia="Arial" w:hAnsi="Arial"/>
          <w:sz w:val="14"/>
          <w:szCs w:val="14"/>
          <w:color w:val="auto"/>
          <w:vertAlign w:val="superscript"/>
        </w:rPr>
        <w:t>4</w:t>
      </w:r>
      <w:r>
        <w:rPr>
          <w:rFonts w:ascii="Arial" w:cs="Arial" w:eastAsia="Arial" w:hAnsi="Arial"/>
          <w:sz w:val="14"/>
          <w:szCs w:val="14"/>
          <w:color w:val="auto"/>
        </w:rPr>
        <w:t xml:space="preserve"> Adjusted EBITDA, Adjusted EBITDA margin, Adjusted Net Income and Adjusted Diluted EPS are non-GAAP financial measures. See “Non-GAAP Financial Measures” and the attached schedules for additional information and reconciliations of such non-GAAP financial measures.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Results</w:t>
      </w:r>
    </w:p>
    <w:p>
      <w:pPr>
        <w:spacing w:after="0" w:line="18" w:lineRule="exact"/>
        <w:rPr>
          <w:sz w:val="20"/>
          <w:szCs w:val="20"/>
          <w:color w:val="auto"/>
        </w:rPr>
      </w:pPr>
    </w:p>
    <w:p>
      <w:pPr>
        <w:ind w:right="120"/>
        <w:spacing w:after="0"/>
        <w:rPr>
          <w:sz w:val="20"/>
          <w:szCs w:val="20"/>
          <w:color w:val="auto"/>
        </w:rPr>
      </w:pPr>
      <w:r>
        <w:rPr>
          <w:rFonts w:ascii="Arial" w:cs="Arial" w:eastAsia="Arial" w:hAnsi="Arial"/>
          <w:sz w:val="18"/>
          <w:szCs w:val="18"/>
          <w:b w:val="1"/>
          <w:bCs w:val="1"/>
          <w:color w:val="auto"/>
        </w:rPr>
        <w:t xml:space="preserve">Rates </w:t>
      </w:r>
      <w:r>
        <w:rPr>
          <w:rFonts w:ascii="Arial" w:cs="Arial" w:eastAsia="Arial" w:hAnsi="Arial"/>
          <w:sz w:val="18"/>
          <w:szCs w:val="18"/>
          <w:color w:val="auto"/>
        </w:rPr>
        <w:t>– Revenues from rates of $104.1 million in the first quarter of 2019 increased 10.8% compared to the first quarter of 2018. ADV in rates</w:t>
      </w:r>
      <w:r>
        <w:rPr>
          <w:rFonts w:ascii="Arial" w:cs="Arial" w:eastAsia="Arial" w:hAnsi="Arial"/>
          <w:sz w:val="18"/>
          <w:szCs w:val="18"/>
          <w:b w:val="1"/>
          <w:bCs w:val="1"/>
          <w:color w:val="auto"/>
        </w:rPr>
        <w:t xml:space="preserve"> </w:t>
      </w:r>
      <w:r>
        <w:rPr>
          <w:rFonts w:ascii="Arial" w:cs="Arial" w:eastAsia="Arial" w:hAnsi="Arial"/>
          <w:sz w:val="18"/>
          <w:szCs w:val="18"/>
          <w:color w:val="auto"/>
        </w:rPr>
        <w:t>of $431.4 billion for the first quarter of 2019 increased 25.1% due mainly to higher trading activity in interest rate swaps and swaptions, mortgages and U.S. and European government bonds.</w:t>
      </w:r>
    </w:p>
    <w:p>
      <w:pPr>
        <w:spacing w:after="0" w:line="167"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color w:val="auto"/>
        </w:rPr>
        <w:t xml:space="preserve">Credit </w:t>
      </w:r>
      <w:r>
        <w:rPr>
          <w:rFonts w:ascii="Arial" w:cs="Arial" w:eastAsia="Arial" w:hAnsi="Arial"/>
          <w:sz w:val="18"/>
          <w:szCs w:val="18"/>
          <w:color w:val="auto"/>
        </w:rPr>
        <w:t>- Revenues from credit of $39.4 million in the first quarter of 2019 increased 13.5% compared to the first quarter of 2018. ADV in credit</w:t>
      </w:r>
      <w:r>
        <w:rPr>
          <w:rFonts w:ascii="Arial" w:cs="Arial" w:eastAsia="Arial" w:hAnsi="Arial"/>
          <w:sz w:val="18"/>
          <w:szCs w:val="18"/>
          <w:b w:val="1"/>
          <w:bCs w:val="1"/>
          <w:color w:val="auto"/>
        </w:rPr>
        <w:t xml:space="preserve"> </w:t>
      </w:r>
      <w:r>
        <w:rPr>
          <w:rFonts w:ascii="Arial" w:cs="Arial" w:eastAsia="Arial" w:hAnsi="Arial"/>
          <w:sz w:val="18"/>
          <w:szCs w:val="18"/>
          <w:color w:val="auto"/>
        </w:rPr>
        <w:t>of $16.4 billion for the first quarter of 2019 increased 9.2% due mainly to higher trading activity in U.S. high grade and U.S. high yield credit.</w:t>
      </w:r>
    </w:p>
    <w:p>
      <w:pPr>
        <w:spacing w:after="0" w:line="14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auto"/>
        </w:rPr>
        <w:t xml:space="preserve">Equities </w:t>
      </w:r>
      <w:r>
        <w:rPr>
          <w:rFonts w:ascii="Arial" w:cs="Arial" w:eastAsia="Arial" w:hAnsi="Arial"/>
          <w:sz w:val="18"/>
          <w:szCs w:val="18"/>
          <w:color w:val="auto"/>
        </w:rPr>
        <w:t>– Revenues from equities of $11.8 million in the first quarter of 2019 increased 15.8% compared to the first quarter of 2018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attributable to institutional trading activity in U.S. and European ETFs. ADV in equities of $7.7 billion for the first quarter of 2019 declined 22.8% due mainly to a decrease in market volumes of U.S. ETFs relative to record market volumes of U.S. ETFs in the first quarter of 2018.</w:t>
      </w:r>
    </w:p>
    <w:p>
      <w:pPr>
        <w:spacing w:after="0" w:line="156"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b w:val="1"/>
          <w:bCs w:val="1"/>
          <w:color w:val="auto"/>
        </w:rPr>
        <w:t xml:space="preserve">Money Markets </w:t>
      </w:r>
      <w:r>
        <w:rPr>
          <w:rFonts w:ascii="Arial" w:cs="Arial" w:eastAsia="Arial" w:hAnsi="Arial"/>
          <w:sz w:val="18"/>
          <w:szCs w:val="18"/>
          <w:color w:val="auto"/>
        </w:rPr>
        <w:t>– Revenues from money markets of $9.6 million in the first quarter of 2019 increased 17.8% compared to the first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2018. ADV in money markets of $191.1 billion during the quarter rose 16.2% due mainly to the continued growth of bilateral electronic trading in repurchase agreements.</w:t>
      </w:r>
    </w:p>
    <w:p>
      <w:pPr>
        <w:spacing w:after="0" w:line="156"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b w:val="1"/>
          <w:bCs w:val="1"/>
          <w:color w:val="auto"/>
        </w:rPr>
        <w:t xml:space="preserve">Market Data </w:t>
      </w:r>
      <w:r>
        <w:rPr>
          <w:rFonts w:ascii="Arial" w:cs="Arial" w:eastAsia="Arial" w:hAnsi="Arial"/>
          <w:sz w:val="18"/>
          <w:szCs w:val="18"/>
          <w:color w:val="auto"/>
        </w:rPr>
        <w:t>– Revenues from market data of $ 16.9 million in the first quarter of 2019 increased 8.7% compared to the first quarter of 2018</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from the expansion of our market data license agreement with Refinitiv.</w:t>
      </w:r>
    </w:p>
    <w:p>
      <w:pPr>
        <w:spacing w:after="0" w:line="140"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 Revenues from other of $5.0 million in the first quarter of 2019 decreased 28.5% compared to the first quarter of 2018 primarily from</w:t>
      </w:r>
      <w:r>
        <w:rPr>
          <w:rFonts w:ascii="Arial" w:cs="Arial" w:eastAsia="Arial" w:hAnsi="Arial"/>
          <w:sz w:val="18"/>
          <w:szCs w:val="18"/>
          <w:b w:val="1"/>
          <w:bCs w:val="1"/>
          <w:color w:val="auto"/>
        </w:rPr>
        <w:t xml:space="preserve"> </w:t>
      </w:r>
      <w:r>
        <w:rPr>
          <w:rFonts w:ascii="Arial" w:cs="Arial" w:eastAsia="Arial" w:hAnsi="Arial"/>
          <w:sz w:val="18"/>
          <w:szCs w:val="18"/>
          <w:color w:val="auto"/>
        </w:rPr>
        <w:t>lower fees from a third party for certain licensing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170180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008" w:right="239" w:bottom="1440" w:gutter="0" w:footer="0" w:header="0"/>
        </w:sectPr>
      </w:pPr>
    </w:p>
    <w:bookmarkStart w:id="5" w:name="page6"/>
    <w:bookmarkEnd w:id="5"/>
    <w:p>
      <w:pPr>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6400800</wp:posOffset>
            </wp:positionH>
            <wp:positionV relativeFrom="page">
              <wp:posOffset>217805</wp:posOffset>
            </wp:positionV>
            <wp:extent cx="1003300"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08610"/>
                    </a:xfrm>
                    <a:prstGeom prst="rect">
                      <a:avLst/>
                    </a:prstGeom>
                    <a:noFill/>
                  </pic:spPr>
                </pic:pic>
              </a:graphicData>
            </a:graphic>
          </wp:anchor>
        </w:drawing>
        <w:t>Mr. Olesky added, “In the first quarter, we continued to leverage our proprietary technology, client network and domain expertise to further digitize the markets. Specifically, trading activity in interest rate swaps and swaptions rose nearly 40%, U.S. high-grade credit captured record market share of TRACE, and mortgage volume grew 20%. Broad use of our trading protocols, across client sectors, asset classes and regions, is evidence of our ability to collaborate with an array of clients to enhance price discovery, access liquidity and complete trades more effectively.”</w:t>
      </w:r>
    </w:p>
    <w:p>
      <w:pPr>
        <w:spacing w:after="0" w:line="181" w:lineRule="exact"/>
        <w:rPr>
          <w:sz w:val="20"/>
          <w:szCs w:val="20"/>
          <w:color w:val="auto"/>
        </w:rPr>
      </w:pPr>
    </w:p>
    <w:p>
      <w:pPr>
        <w:ind w:right="140"/>
        <w:spacing w:after="0"/>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9"/>
          <w:szCs w:val="19"/>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expenses of $140.5 million in the first quarter of 2019 included $23.2 million of acquisition and Refinitiv</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related depreciation and amortization (D&amp;A) expense, $16.7 million of which was related to the completion of the Refinitiv Transaction, which was completed in the fourth quarter of 2018. Excluding acquisition and Refinitiv Transaction related D&amp;A expense, as well as certain foreign exchange gains and losses, Adjusted Expenses increased 9.5% year over year due primarily to a rise in headcount and related increase in employee compensation and benefits expense.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8"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Assets as of March 31, 2019 included $361.6 million in unrestricted cash and cash equivalents. Subsequent to the quarter, on April 3, 2019, Tradeweb Markets LLC paid a $ 100 million distribution to existing equityholders. Subsequent to the quarter, on April 8, 2019, Tradeweb Markets LLC entered into a new $500 million senior secured revolving credit facility, which remained undrawn as of May 8,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1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On April 8, 2019, Tradeweb Markets Inc. closed its initial public offering (“IPO”) of Class A common stock at a price to the public of $27.00 per share. Tradeweb Markets Inc. issued 46,000,000 shares of Class A common stock, resulting in net proceeds of $1,161.3 million after deducting the underwriting discounts and commissions. Tradeweb Markets Inc. used the net proceeds from the IPO to purchase issued and outstanding common membership interests of Tradeweb Markets LLC from certain existing equityholders of Tradeweb Markets LLC (and cancel the corresponding shares of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Introducing Full-Year 2019 Guidance*</w:t>
      </w:r>
    </w:p>
    <w:p>
      <w:pPr>
        <w:spacing w:after="0" w:line="1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expenses of $460 - $475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Assumed non-GAAP tax rate of 26.4%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 expenditures and capitalization of software of $42 - $48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Acquisition and Refinitiv Transaction related depreciation and amortization expense of $98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interest income of approximately $(0.4) million in the second quarter of 2019 and $0.5 - $1.0 million for the full year</w:t>
      </w:r>
    </w:p>
    <w:p>
      <w:pPr>
        <w:spacing w:after="0" w:line="203" w:lineRule="exact"/>
        <w:rPr>
          <w:sz w:val="20"/>
          <w:szCs w:val="20"/>
          <w:color w:val="auto"/>
        </w:rPr>
      </w:pPr>
    </w:p>
    <w:p>
      <w:pPr>
        <w:jc w:val="both"/>
        <w:ind w:left="340" w:right="500" w:hanging="8"/>
        <w:spacing w:after="0" w:line="260" w:lineRule="auto"/>
        <w:tabs>
          <w:tab w:leader="none" w:pos="436" w:val="left"/>
        </w:tabs>
        <w:numPr>
          <w:ilvl w:val="0"/>
          <w:numId w:val="6"/>
        </w:numPr>
        <w:rPr>
          <w:rFonts w:ascii="Arial" w:cs="Arial" w:eastAsia="Arial" w:hAnsi="Arial"/>
          <w:sz w:val="14"/>
          <w:szCs w:val="14"/>
          <w:color w:val="auto"/>
        </w:rPr>
      </w:pPr>
      <w:r>
        <w:rPr>
          <w:rFonts w:ascii="Arial" w:cs="Arial" w:eastAsia="Arial" w:hAnsi="Arial"/>
          <w:sz w:val="14"/>
          <w:szCs w:val="14"/>
          <w:i w:val="1"/>
          <w:iCs w:val="1"/>
          <w:color w:val="auto"/>
        </w:rPr>
        <w:t>GAAP operating expenses and tax rate guidance are not provided due to the inherent difficulty in quantifying certain amounts due to a variety of factors including the unpredictability in the movement of foreign currency rates as well as future changes and reversals outside of the normal course of business. Guidance assumes 1Q19 monthly average exchange rates for FY 2019.</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w:t>
      </w:r>
    </w:p>
    <w:p>
      <w:pPr>
        <w:spacing w:after="0" w:line="18"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The Board of Directors of Tradeweb Markets Inc. declared a cash dividend of $ 0.08 per share of Class A common stock and Class B common stock for the second quarter of 2019. The dividend will be payable on June 15, 2019 to stockholders of record as of June 1, 2019.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 xml:space="preserve">Tradeweb Markets will hold a conference call to discuss first quarter 2019 results starting at 8:30 a.m. Eastern Time today, May 9, 2019. A live, audio webcast of the conference call along with related materials will be available at </w:t>
      </w:r>
      <w:r>
        <w:rPr>
          <w:rFonts w:ascii="Arial" w:cs="Arial" w:eastAsia="Arial" w:hAnsi="Arial"/>
          <w:sz w:val="18"/>
          <w:szCs w:val="18"/>
          <w:u w:val="single" w:color="auto"/>
          <w:color w:val="0000FF"/>
        </w:rPr>
        <w:t>http://investors.tradeweb.com</w:t>
      </w:r>
      <w:r>
        <w:rPr>
          <w:rFonts w:ascii="Arial" w:cs="Arial" w:eastAsia="Arial" w:hAnsi="Arial"/>
          <w:sz w:val="18"/>
          <w:szCs w:val="18"/>
          <w:color w:val="auto"/>
        </w:rPr>
        <w:t xml:space="preserve">. Alternatively, interested parties can access the call by dialing 866-963-0668 (U.S.) or 630-652-5916 (international) and entering passcode 1281298. After the conference call, an archived recording will be available at </w:t>
      </w:r>
      <w:r>
        <w:rPr>
          <w:rFonts w:ascii="Arial" w:cs="Arial" w:eastAsia="Arial" w:hAnsi="Arial"/>
          <w:sz w:val="18"/>
          <w:szCs w:val="18"/>
          <w:u w:val="single" w:color="auto"/>
          <w:color w:val="0000FF"/>
        </w:rPr>
        <w:t>http://investors.tradeweb.com</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This release contains forward -looking statements within the meaning of the federal securities laws. Statements related to, among other things, our guidance, including 2019 guidance, and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030" w:right="279" w:bottom="1440" w:gutter="0" w:footer="0" w:header="0"/>
        </w:sectPr>
      </w:pPr>
    </w:p>
    <w:bookmarkStart w:id="6" w:name="page7"/>
    <w:bookmarkEnd w:id="6"/>
    <w:p>
      <w:pPr>
        <w:ind w:right="180"/>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6400800</wp:posOffset>
            </wp:positionH>
            <wp:positionV relativeFrom="page">
              <wp:posOffset>217805</wp:posOffset>
            </wp:positionV>
            <wp:extent cx="1003300" cy="308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08610"/>
                    </a:xfrm>
                    <a:prstGeom prst="rect">
                      <a:avLst/>
                    </a:prstGeom>
                    <a:noFill/>
                  </pic:spPr>
                </pic:pic>
              </a:graphicData>
            </a:graphic>
          </wp:anchor>
        </w:drawing>
        <w:t>performance, the markets in which we operate, our expectations, beliefs, plans, strategies, objectives, prospects and assumptions and future events are forward-looking statements.</w:t>
      </w:r>
    </w:p>
    <w:p>
      <w:pPr>
        <w:spacing w:after="0" w:line="18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under the heading “Risk Factors” in our prospectus filed with the SEC on April 5, 2019 and other documents of Tradeweb Markets Inc. on file with or furnished to the SEC, may cause our actual results, performance or achievements to differ materially from those expressed or implied by these forward-looking statements. Given these risks and uncertainties, you are cautioned not to place undue reliance on such forward-looking statements. The forward-looking statements contained in this release are not guarantees of future performance and our actual results of operations, financial condition and liquidity, and the development of the markets in which we operate, may differ materially from the forward-looking statements contained in this release. In addition, even if our results of operations, financial condition, and liquidity, and events in the markets in which we operate, are consistent with the forward-looking statements contained in this release, they may not be predictive of results or developments in future periods.</w:t>
      </w:r>
    </w:p>
    <w:p>
      <w:pPr>
        <w:spacing w:after="0" w:line="192"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Any forward-looking statement that we make in this release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release.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w:t>
      </w:r>
    </w:p>
    <w:p>
      <w:pPr>
        <w:spacing w:after="0" w:line="1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This release presents historical results, for the periods presented, of Tradeweb Markets LLC, the predecessor of Tradeweb Markets Inc. for financial reporting purposes (together with Tradeweb Markets Inc., referred to as “Tradeweb,” “Tradeweb Markets” or the “Company”). The financial results of Tradeweb Markets Inc. have not been included in this release as it is a newly incorporated entity and had no material assets or liabilities and no material business transactions or activities during the periods presented. Accordingly, these historical results do not purport to reflect what the results of operations of Tradeweb Markets Inc. would have been had the IPO and related transactions occurred prior to such periods. For example, these historical results do not reflect the attribution of net income to non-controlling interests or the provision for corporate income taxes on the income attributable to Tradeweb Markets Inc. that the Company expects to recognize in future periods.</w:t>
      </w:r>
    </w:p>
    <w:p>
      <w:pPr>
        <w:spacing w:after="0" w:line="19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On October 1, 2018, Refinitiv Holdings Ltd. (“Refinitiv”), which is controlled by certain investment funds affiliated with The Blackstone Group L.P., an affiliate of Canada Pension Plan Investment Board, an affiliate of GIC Special Investments Pte. Ltd. and certain co-investors, indirectly acquired substantially all of the financial and risk business of Thomson Reuters Corporation and Thomson Reuters Corporation indirectly acquired a non-controlling ownership interest in Refinitiv (collectively, the “Refinitiv Transaction). As a result of the Refinitiv Transaction, as a consolidating subsidiary of Refinitiv, we accounted for the Refinitiv Transaction using pushdown accounting. Due to the change in the basis of accounting resulting from the application of pushdown accounting, the financial information for the period beginning on October 1, 2018, and through and including March 31, 2019, which we refer to as the “Successor period,” and the financial information for the periods prior to, and including, September 30, 2018, which we refer to as the “Predecessor period,” are not necessarily comparable.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 w:lineRule="exact"/>
        <w:rPr>
          <w:sz w:val="20"/>
          <w:szCs w:val="20"/>
          <w:color w:val="auto"/>
        </w:rPr>
      </w:pPr>
    </w:p>
    <w:p>
      <w:pPr>
        <w:jc w:val="both"/>
        <w:ind w:right="160"/>
        <w:spacing w:after="0" w:line="239" w:lineRule="auto"/>
        <w:rPr>
          <w:sz w:val="20"/>
          <w:szCs w:val="20"/>
          <w:color w:val="auto"/>
        </w:rPr>
      </w:pPr>
      <w:r>
        <w:rPr>
          <w:rFonts w:ascii="Arial" w:cs="Arial" w:eastAsia="Arial" w:hAnsi="Arial"/>
          <w:sz w:val="18"/>
          <w:szCs w:val="18"/>
          <w:color w:val="auto"/>
        </w:rPr>
        <w:t>This release contains “non-GAAP financial measures,” including Adjusted EBITDA, Adjusted EBITDA margin, Adjusted Net Income, Adjusted Diluted EPS and Adjusted Expenses. We make use of non-GAAP financial measures in evaluating our past results and future prospects. We present these non-GAAP financial measures because we believe they assist investors and analysts in comparing our operating performance across reporting periods on a consistent basis by excluding items that we do not believe are indicative of our core operating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186690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030" w:right="279" w:bottom="1440" w:gutter="0" w:footer="0" w:header="0"/>
        </w:sectPr>
      </w:pPr>
    </w:p>
    <w:bookmarkStart w:id="7" w:name="page8"/>
    <w:bookmarkEnd w:id="7"/>
    <w:p>
      <w:pPr>
        <w:ind w:right="16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6400800</wp:posOffset>
            </wp:positionH>
            <wp:positionV relativeFrom="page">
              <wp:posOffset>217805</wp:posOffset>
            </wp:positionV>
            <wp:extent cx="1003300" cy="308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08610"/>
                    </a:xfrm>
                    <a:prstGeom prst="rect">
                      <a:avLst/>
                    </a:prstGeom>
                    <a:noFill/>
                  </pic:spPr>
                </pic:pic>
              </a:graphicData>
            </a:graphic>
          </wp:anchor>
        </w:drawing>
        <w:t>Management and our board of directors use Adjusted EBITDA and Adjusted EBITDA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188" w:lineRule="exact"/>
        <w:rPr>
          <w:sz w:val="20"/>
          <w:szCs w:val="20"/>
          <w:color w:val="auto"/>
        </w:rPr>
      </w:pPr>
    </w:p>
    <w:p>
      <w:pPr>
        <w:jc w:val="both"/>
        <w:ind w:right="320"/>
        <w:spacing w:after="0" w:line="239" w:lineRule="auto"/>
        <w:rPr>
          <w:sz w:val="20"/>
          <w:szCs w:val="20"/>
          <w:color w:val="auto"/>
        </w:rPr>
      </w:pPr>
      <w:r>
        <w:rPr>
          <w:rFonts w:ascii="Arial" w:cs="Arial" w:eastAsia="Arial" w:hAnsi="Arial"/>
          <w:sz w:val="18"/>
          <w:szCs w:val="18"/>
          <w:color w:val="auto"/>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included in Adjusted Net Income and Adjusted Diluted EPS help to provide management with a measure of our operating performance over time by removing items that are not related to day-to-day operations or are non-cash expenses.</w:t>
      </w:r>
    </w:p>
    <w:p>
      <w:pPr>
        <w:spacing w:after="0" w:line="188"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We use Adjusted Expenses as a supplemental metric to evaluate our underlying operating performance over time by removing items that are not related to day-to-day operations or are non-cash expenses.</w:t>
      </w:r>
    </w:p>
    <w:p>
      <w:pPr>
        <w:spacing w:after="0" w:line="183"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In addition, we present certain growth information on a “constant currency” basis. In countries with currencies other than the U.S. dollar, revenues and expenses are translated using monthly average exchange rates. Certain discussions in this release isolate the impact of period-over-period foreign currency fluctuations to better measure the comparability of operating results between periods. Operating results excluding the impact of foreign currency fluctuations are calculated by translating the current period’s results using the prior period’s exchange rates.</w:t>
      </w:r>
    </w:p>
    <w:p>
      <w:pPr>
        <w:spacing w:after="0" w:line="18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See the attached schedules for reconciliations of the non-GAAP financial measures contained in this release to their most comparable GAAP financial measure. Non-GAAP financial measures have limitations as analytical tools, and you should not consider these non-GAAP financial measures in isolation or as alternatives to net income, net income per diluted share (“Diluted EPS”), operating income or operating expenses or any other operating performance measure derived in accordance with GAAP. You are encouraged to evaluate each adjustment included in the reconciliations. In addition, in evaluating Adjusted EBITDA, Adjusted EBITDA margin, Adjusted Net Income, Adjusted Diluted EPS and Adjusted Expenses, you should be aware that in the future, we may incur expenses similar to the adjustments in the presentation of these non-GAAP financial measures. Our presentation of non-GAAP financial measures should not be construed as an inference that our future results will be unaffected by unusual or non-recurring items. In addition, the non-GAAP financial measures contained in this release may not be comparable to similarly titled measures used by other companies in our industry or across different industries.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Tradeweb Social Media</w:t>
      </w:r>
    </w:p>
    <w:p>
      <w:pPr>
        <w:spacing w:after="0" w:line="1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Investors and others should note that Tradeweb Markets announces material financial and operational information using its investor relations website, press releases, SEC filings and public conference calls and webcasts. Information about Tradeweb Markets, its business, and its results of operations may also be announced by posts on the Company’s accounts on the following social media channels: Instagram, LinkedIn and Twitter. The information that we post through these social media channels may be deemed material. As a result, we encourage investors, the media, and others interested in Tradeweb Markets to monitor these social media channels in addition to following our press releases, SEC filings and public conference calls and webcasts. These social media channels may be updated from time to time on our investor relations website.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Tradeweb Markets</w:t>
      </w:r>
    </w:p>
    <w:p>
      <w:pPr>
        <w:spacing w:after="0" w:line="1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Tradeweb Markets Inc. (Nasdaq: TW) is a leading, global operator of electronic marketplaces for rates, credit, equities and money markets. Founded in 1996, the company provides access to markets, data and analytics, electronic trading, straight-through-processing and reporting in more than 40 products to clients in the institutional, wholesale and retail markets. Advanced technologies developed by Tradeweb enhance price discovery, order execution and trade workflows while allowing for greater scale and helping to reduce risks in client trading operations. The company serves approximately 2,500 clients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187325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030" w:right="259" w:bottom="1440" w:gutter="0" w:footer="0" w:header="0"/>
        </w:sectPr>
      </w:pPr>
    </w:p>
    <w:bookmarkStart w:id="8" w:name="page9"/>
    <w:bookmarkEnd w:id="8"/>
    <w:p>
      <w:pPr>
        <w:ind w:right="220"/>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6400800</wp:posOffset>
            </wp:positionH>
            <wp:positionV relativeFrom="page">
              <wp:posOffset>217805</wp:posOffset>
            </wp:positionV>
            <wp:extent cx="1003300" cy="308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08610"/>
                    </a:xfrm>
                    <a:prstGeom prst="rect">
                      <a:avLst/>
                    </a:prstGeom>
                    <a:noFill/>
                  </pic:spPr>
                </pic:pic>
              </a:graphicData>
            </a:graphic>
          </wp:anchor>
        </w:drawing>
        <w:t xml:space="preserve">more than 60 countries. In an average trading day, Tradeweb facilitates more than $570 billion in notional value. For more information, please go to </w:t>
      </w:r>
      <w:r>
        <w:rPr>
          <w:rFonts w:ascii="Arial" w:cs="Arial" w:eastAsia="Arial" w:hAnsi="Arial"/>
          <w:sz w:val="18"/>
          <w:szCs w:val="18"/>
          <w:u w:val="single" w:color="auto"/>
          <w:color w:val="0000FF"/>
        </w:rPr>
        <w:t>www.tradeweb.com</w:t>
      </w:r>
      <w:r>
        <w:rPr>
          <w:rFonts w:ascii="Arial" w:cs="Arial" w:eastAsia="Arial" w:hAnsi="Arial"/>
          <w:sz w:val="18"/>
          <w:szCs w:val="18"/>
          <w:color w:val="auto"/>
        </w:rPr>
        <w:t>.</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Investor contact</w:t>
            </w:r>
          </w:p>
        </w:tc>
        <w:tc>
          <w:tcPr>
            <w:tcW w:w="14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Media contact</w:t>
            </w:r>
          </w:p>
        </w:tc>
      </w:tr>
      <w:tr>
        <w:trPr>
          <w:trHeight w:val="203"/>
        </w:trPr>
        <w:tc>
          <w:tcPr>
            <w:tcW w:w="5580" w:type="dxa"/>
            <w:vAlign w:val="bottom"/>
            <w:gridSpan w:val="2"/>
          </w:tcPr>
          <w:p>
            <w:pPr>
              <w:spacing w:after="0" w:line="202" w:lineRule="exact"/>
              <w:rPr>
                <w:sz w:val="20"/>
                <w:szCs w:val="20"/>
                <w:color w:val="auto"/>
              </w:rPr>
            </w:pPr>
            <w:r>
              <w:rPr>
                <w:rFonts w:ascii="Arial" w:cs="Arial" w:eastAsia="Arial" w:hAnsi="Arial"/>
                <w:sz w:val="18"/>
                <w:szCs w:val="18"/>
                <w:color w:val="auto"/>
              </w:rPr>
              <w:t>Ashley Serrao, Tradeweb + 1 646 430 6027</w:t>
            </w:r>
          </w:p>
        </w:tc>
        <w:tc>
          <w:tcPr>
            <w:tcW w:w="140" w:type="dxa"/>
            <w:vAlign w:val="bottom"/>
          </w:tcPr>
          <w:p>
            <w:pPr>
              <w:spacing w:after="0"/>
              <w:rPr>
                <w:sz w:val="17"/>
                <w:szCs w:val="17"/>
                <w:color w:val="auto"/>
              </w:rPr>
            </w:pPr>
          </w:p>
        </w:tc>
        <w:tc>
          <w:tcPr>
            <w:tcW w:w="5740" w:type="dxa"/>
            <w:vAlign w:val="bottom"/>
            <w:gridSpan w:val="2"/>
          </w:tcPr>
          <w:p>
            <w:pPr>
              <w:spacing w:after="0" w:line="202" w:lineRule="exact"/>
              <w:rPr>
                <w:sz w:val="20"/>
                <w:szCs w:val="20"/>
                <w:color w:val="auto"/>
              </w:rPr>
            </w:pPr>
            <w:r>
              <w:rPr>
                <w:rFonts w:ascii="Arial" w:cs="Arial" w:eastAsia="Arial" w:hAnsi="Arial"/>
                <w:sz w:val="18"/>
                <w:szCs w:val="18"/>
                <w:color w:val="auto"/>
              </w:rPr>
              <w:t>Jonathan Mairs, Tradeweb +1 646 430 6176</w:t>
            </w:r>
          </w:p>
        </w:tc>
      </w:tr>
      <w:tr>
        <w:trPr>
          <w:trHeight w:val="176"/>
        </w:trPr>
        <w:tc>
          <w:tcPr>
            <w:tcW w:w="2500" w:type="dxa"/>
            <w:vAlign w:val="bottom"/>
            <w:tcBorders>
              <w:bottom w:val="single" w:sz="8" w:color="0000FF"/>
            </w:tcBorders>
          </w:tcPr>
          <w:p>
            <w:pPr>
              <w:spacing w:after="0" w:line="176" w:lineRule="exact"/>
              <w:rPr>
                <w:sz w:val="20"/>
                <w:szCs w:val="20"/>
                <w:color w:val="auto"/>
              </w:rPr>
            </w:pPr>
            <w:r>
              <w:rPr>
                <w:rFonts w:ascii="Arial" w:cs="Arial" w:eastAsia="Arial" w:hAnsi="Arial"/>
                <w:sz w:val="18"/>
                <w:szCs w:val="18"/>
                <w:color w:val="0000FF"/>
                <w:w w:val="99"/>
              </w:rPr>
              <w:t>Ashley.Serrao@Tradeweb.com</w:t>
            </w:r>
          </w:p>
        </w:tc>
        <w:tc>
          <w:tcPr>
            <w:tcW w:w="3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0" w:type="dxa"/>
            <w:vAlign w:val="bottom"/>
            <w:tcBorders>
              <w:bottom w:val="single" w:sz="8" w:color="0000FF"/>
            </w:tcBorders>
          </w:tcPr>
          <w:p>
            <w:pPr>
              <w:spacing w:after="0" w:line="176" w:lineRule="exact"/>
              <w:rPr>
                <w:sz w:val="20"/>
                <w:szCs w:val="20"/>
                <w:color w:val="auto"/>
              </w:rPr>
            </w:pPr>
            <w:r>
              <w:rPr>
                <w:rFonts w:ascii="Arial" w:cs="Arial" w:eastAsia="Arial" w:hAnsi="Arial"/>
                <w:sz w:val="18"/>
                <w:szCs w:val="18"/>
                <w:color w:val="0000FF"/>
                <w:w w:val="99"/>
              </w:rPr>
              <w:t>Jonathan.Mairs@Tradeweb.com</w:t>
            </w:r>
          </w:p>
        </w:tc>
        <w:tc>
          <w:tcPr>
            <w:tcW w:w="3140" w:type="dxa"/>
            <w:vAlign w:val="bottom"/>
          </w:tcPr>
          <w:p>
            <w:pPr>
              <w:spacing w:after="0"/>
              <w:rPr>
                <w:sz w:val="15"/>
                <w:szCs w:val="15"/>
                <w:color w:val="auto"/>
              </w:rPr>
            </w:pPr>
          </w:p>
        </w:tc>
      </w:tr>
      <w:tr>
        <w:trPr>
          <w:trHeight w:val="426"/>
        </w:trPr>
        <w:tc>
          <w:tcPr>
            <w:tcW w:w="5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740" w:type="dxa"/>
            <w:vAlign w:val="bottom"/>
            <w:gridSpan w:val="2"/>
          </w:tcPr>
          <w:p>
            <w:pPr>
              <w:jc w:val="right"/>
              <w:ind w:right="2210"/>
              <w:spacing w:after="0"/>
              <w:rPr>
                <w:sz w:val="20"/>
                <w:szCs w:val="20"/>
                <w:color w:val="auto"/>
              </w:rPr>
            </w:pPr>
            <w:r>
              <w:rPr>
                <w:rFonts w:ascii="Arial" w:cs="Arial" w:eastAsia="Arial" w:hAnsi="Arial"/>
                <w:sz w:val="18"/>
                <w:szCs w:val="18"/>
                <w:color w:val="auto"/>
              </w:rPr>
              <w:t>#  #</w:t>
            </w:r>
          </w:p>
        </w:tc>
        <w:tc>
          <w:tcPr>
            <w:tcW w:w="3140" w:type="dxa"/>
            <w:vAlign w:val="bottom"/>
          </w:tcPr>
          <w:p>
            <w:pPr>
              <w:spacing w:after="0"/>
              <w:rPr>
                <w:sz w:val="24"/>
                <w:szCs w:val="24"/>
                <w:color w:val="auto"/>
              </w:rPr>
            </w:pPr>
          </w:p>
        </w:tc>
      </w:tr>
      <w:tr>
        <w:trPr>
          <w:trHeight w:val="321"/>
        </w:trPr>
        <w:tc>
          <w:tcPr>
            <w:tcW w:w="2500" w:type="dxa"/>
            <w:vAlign w:val="bottom"/>
            <w:tcBorders>
              <w:bottom w:val="single" w:sz="8" w:color="808080"/>
            </w:tcBorders>
          </w:tcPr>
          <w:p>
            <w:pPr>
              <w:spacing w:after="0"/>
              <w:rPr>
                <w:sz w:val="24"/>
                <w:szCs w:val="24"/>
                <w:color w:val="auto"/>
              </w:rPr>
            </w:pPr>
          </w:p>
        </w:tc>
        <w:tc>
          <w:tcPr>
            <w:tcW w:w="30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2600" w:type="dxa"/>
            <w:vAlign w:val="bottom"/>
            <w:tcBorders>
              <w:bottom w:val="single" w:sz="8" w:color="808080"/>
            </w:tcBorders>
          </w:tcPr>
          <w:p>
            <w:pPr>
              <w:spacing w:after="0"/>
              <w:rPr>
                <w:sz w:val="24"/>
                <w:szCs w:val="24"/>
                <w:color w:val="auto"/>
              </w:rPr>
            </w:pPr>
          </w:p>
        </w:tc>
        <w:tc>
          <w:tcPr>
            <w:tcW w:w="3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030" w:right="1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5989320</wp:posOffset>
            </wp:positionH>
            <wp:positionV relativeFrom="page">
              <wp:posOffset>217805</wp:posOffset>
            </wp:positionV>
            <wp:extent cx="1003300" cy="308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08610"/>
                    </a:xfrm>
                    <a:prstGeom prst="rect">
                      <a:avLst/>
                    </a:prstGeom>
                    <a:noFill/>
                  </pic:spPr>
                </pic:pic>
              </a:graphicData>
            </a:graphic>
          </wp:anchor>
        </w:drawing>
        <w:t>TRADEWEB MARKETS LLC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 (UNAUDITED)</w:t>
      </w:r>
    </w:p>
    <w:p>
      <w:pP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6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3"/>
        </w:trPr>
        <w:tc>
          <w:tcPr>
            <w:tcW w:w="7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920" w:type="dxa"/>
            <w:vAlign w:val="bottom"/>
            <w:vMerge w:val="restart"/>
          </w:tcPr>
          <w:p>
            <w:pPr>
              <w:jc w:val="center"/>
              <w:spacing w:after="0" w:line="199" w:lineRule="exact"/>
              <w:rPr>
                <w:sz w:val="20"/>
                <w:szCs w:val="20"/>
                <w:color w:val="auto"/>
              </w:rPr>
            </w:pPr>
            <w:r>
              <w:rPr>
                <w:rFonts w:ascii="Arial" w:cs="Arial" w:eastAsia="Arial" w:hAnsi="Arial"/>
                <w:sz w:val="18"/>
                <w:szCs w:val="18"/>
                <w:b w:val="1"/>
                <w:bCs w:val="1"/>
                <w:color w:val="auto"/>
              </w:rPr>
              <w:t>Successor</w:t>
            </w:r>
          </w:p>
        </w:tc>
        <w:tc>
          <w:tcPr>
            <w:tcW w:w="4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gridSpan w:val="2"/>
            <w:vMerge w:val="restart"/>
          </w:tcPr>
          <w:p>
            <w:pPr>
              <w:jc w:val="right"/>
              <w:ind w:right="320"/>
              <w:spacing w:after="0" w:line="199" w:lineRule="exact"/>
              <w:rPr>
                <w:sz w:val="20"/>
                <w:szCs w:val="20"/>
                <w:color w:val="auto"/>
              </w:rPr>
            </w:pPr>
            <w:r>
              <w:rPr>
                <w:rFonts w:ascii="Arial" w:cs="Arial" w:eastAsia="Arial" w:hAnsi="Arial"/>
                <w:sz w:val="18"/>
                <w:szCs w:val="18"/>
                <w:b w:val="1"/>
                <w:bCs w:val="1"/>
                <w:color w:val="auto"/>
                <w:w w:val="98"/>
              </w:rPr>
              <w:t>Predecessor</w:t>
            </w:r>
          </w:p>
        </w:tc>
        <w:tc>
          <w:tcPr>
            <w:tcW w:w="0" w:type="dxa"/>
            <w:vAlign w:val="bottom"/>
          </w:tcPr>
          <w:p>
            <w:pPr>
              <w:spacing w:after="0" w:line="20" w:lineRule="exact"/>
              <w:rPr>
                <w:sz w:val="1"/>
                <w:szCs w:val="1"/>
                <w:color w:val="auto"/>
              </w:rPr>
            </w:pPr>
          </w:p>
        </w:tc>
      </w:tr>
      <w:tr>
        <w:trPr>
          <w:trHeight w:val="176"/>
        </w:trPr>
        <w:tc>
          <w:tcPr>
            <w:tcW w:w="7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320" w:type="dxa"/>
            <w:vAlign w:val="bottom"/>
            <w:tcBorders>
              <w:left w:val="single" w:sz="8" w:color="auto"/>
            </w:tcBorders>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4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8"/>
                <w:szCs w:val="18"/>
                <w:b w:val="1"/>
                <w:bCs w:val="1"/>
                <w:color w:val="auto"/>
                <w:w w:val="99"/>
              </w:rPr>
              <w:t>March 31, 2019</w:t>
            </w:r>
          </w:p>
        </w:tc>
        <w:tc>
          <w:tcPr>
            <w:tcW w:w="1720" w:type="dxa"/>
            <w:vAlign w:val="bottom"/>
            <w:tcBorders>
              <w:left w:val="single" w:sz="8" w:color="auto"/>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March 31, 2018</w:t>
            </w:r>
          </w:p>
        </w:tc>
        <w:tc>
          <w:tcPr>
            <w:tcW w:w="0" w:type="dxa"/>
            <w:vAlign w:val="bottom"/>
          </w:tcPr>
          <w:p>
            <w:pPr>
              <w:spacing w:after="0"/>
              <w:rPr>
                <w:sz w:val="1"/>
                <w:szCs w:val="1"/>
                <w:color w:val="auto"/>
              </w:rPr>
            </w:pPr>
          </w:p>
        </w:tc>
      </w:tr>
      <w:tr>
        <w:trPr>
          <w:trHeight w:val="196"/>
        </w:trPr>
        <w:tc>
          <w:tcPr>
            <w:tcW w:w="79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Borders>
              <w:left w:val="single" w:sz="8" w:color="auto"/>
            </w:tcBorders>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4"/>
        </w:trPr>
        <w:tc>
          <w:tcPr>
            <w:tcW w:w="7940" w:type="dxa"/>
            <w:vAlign w:val="bottom"/>
          </w:tcPr>
          <w:p>
            <w:pPr>
              <w:ind w:left="160"/>
              <w:spacing w:after="0"/>
              <w:rPr>
                <w:sz w:val="20"/>
                <w:szCs w:val="20"/>
                <w:color w:val="auto"/>
              </w:rPr>
            </w:pPr>
            <w:r>
              <w:rPr>
                <w:rFonts w:ascii="Arial" w:cs="Arial" w:eastAsia="Arial" w:hAnsi="Arial"/>
                <w:sz w:val="18"/>
                <w:szCs w:val="18"/>
                <w:color w:val="auto"/>
              </w:rPr>
              <w:t>Transaction fees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102,640</w:t>
            </w: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90,139</w:t>
            </w:r>
          </w:p>
        </w:tc>
        <w:tc>
          <w:tcPr>
            <w:tcW w:w="0" w:type="dxa"/>
            <w:vAlign w:val="bottom"/>
          </w:tcPr>
          <w:p>
            <w:pPr>
              <w:spacing w:after="0"/>
              <w:rPr>
                <w:sz w:val="1"/>
                <w:szCs w:val="1"/>
                <w:color w:val="auto"/>
              </w:rPr>
            </w:pPr>
          </w:p>
        </w:tc>
      </w:tr>
      <w:tr>
        <w:trPr>
          <w:trHeight w:val="203"/>
        </w:trPr>
        <w:tc>
          <w:tcPr>
            <w:tcW w:w="7940" w:type="dxa"/>
            <w:vAlign w:val="bottom"/>
          </w:tcPr>
          <w:p>
            <w:pPr>
              <w:ind w:left="160"/>
              <w:spacing w:after="0" w:line="202" w:lineRule="exact"/>
              <w:rPr>
                <w:sz w:val="20"/>
                <w:szCs w:val="20"/>
                <w:color w:val="auto"/>
              </w:rPr>
            </w:pPr>
            <w:r>
              <w:rPr>
                <w:rFonts w:ascii="Arial" w:cs="Arial" w:eastAsia="Arial" w:hAnsi="Arial"/>
                <w:sz w:val="18"/>
                <w:szCs w:val="18"/>
                <w:color w:val="auto"/>
              </w:rPr>
              <w:t>Subscription fees</w:t>
            </w:r>
          </w:p>
        </w:tc>
        <w:tc>
          <w:tcPr>
            <w:tcW w:w="240" w:type="dxa"/>
            <w:vAlign w:val="bottom"/>
          </w:tcPr>
          <w:p>
            <w:pPr>
              <w:spacing w:after="0"/>
              <w:rPr>
                <w:sz w:val="17"/>
                <w:szCs w:val="17"/>
                <w:color w:val="auto"/>
              </w:rPr>
            </w:pPr>
          </w:p>
        </w:tc>
        <w:tc>
          <w:tcPr>
            <w:tcW w:w="15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34,445</w:t>
            </w:r>
          </w:p>
        </w:tc>
        <w:tc>
          <w:tcPr>
            <w:tcW w:w="320" w:type="dxa"/>
            <w:vAlign w:val="bottom"/>
            <w:tcBorders>
              <w:left w:val="single" w:sz="8" w:color="auto"/>
            </w:tcBorders>
          </w:tcPr>
          <w:p>
            <w:pPr>
              <w:spacing w:after="0"/>
              <w:rPr>
                <w:sz w:val="17"/>
                <w:szCs w:val="17"/>
                <w:color w:val="auto"/>
              </w:rPr>
            </w:pPr>
          </w:p>
        </w:tc>
        <w:tc>
          <w:tcPr>
            <w:tcW w:w="1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36,326</w:t>
            </w:r>
          </w:p>
        </w:tc>
        <w:tc>
          <w:tcPr>
            <w:tcW w:w="0" w:type="dxa"/>
            <w:vAlign w:val="bottom"/>
          </w:tcPr>
          <w:p>
            <w:pPr>
              <w:spacing w:after="0"/>
              <w:rPr>
                <w:sz w:val="1"/>
                <w:szCs w:val="1"/>
                <w:color w:val="auto"/>
              </w:rPr>
            </w:pPr>
          </w:p>
        </w:tc>
      </w:tr>
      <w:tr>
        <w:trPr>
          <w:trHeight w:val="203"/>
        </w:trPr>
        <w:tc>
          <w:tcPr>
            <w:tcW w:w="7940" w:type="dxa"/>
            <w:vAlign w:val="bottom"/>
          </w:tcPr>
          <w:p>
            <w:pPr>
              <w:ind w:left="160"/>
              <w:spacing w:after="0" w:line="202" w:lineRule="exact"/>
              <w:rPr>
                <w:sz w:val="20"/>
                <w:szCs w:val="20"/>
                <w:color w:val="auto"/>
              </w:rPr>
            </w:pPr>
            <w:r>
              <w:rPr>
                <w:rFonts w:ascii="Arial" w:cs="Arial" w:eastAsia="Arial" w:hAnsi="Arial"/>
                <w:sz w:val="18"/>
                <w:szCs w:val="18"/>
                <w:color w:val="auto"/>
              </w:rPr>
              <w:t>Commissions</w:t>
            </w:r>
          </w:p>
        </w:tc>
        <w:tc>
          <w:tcPr>
            <w:tcW w:w="240" w:type="dxa"/>
            <w:vAlign w:val="bottom"/>
          </w:tcPr>
          <w:p>
            <w:pPr>
              <w:spacing w:after="0"/>
              <w:rPr>
                <w:sz w:val="17"/>
                <w:szCs w:val="17"/>
                <w:color w:val="auto"/>
              </w:rPr>
            </w:pPr>
          </w:p>
        </w:tc>
        <w:tc>
          <w:tcPr>
            <w:tcW w:w="15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34,197</w:t>
            </w:r>
          </w:p>
        </w:tc>
        <w:tc>
          <w:tcPr>
            <w:tcW w:w="320" w:type="dxa"/>
            <w:vAlign w:val="bottom"/>
            <w:tcBorders>
              <w:left w:val="single" w:sz="8" w:color="auto"/>
            </w:tcBorders>
          </w:tcPr>
          <w:p>
            <w:pPr>
              <w:spacing w:after="0"/>
              <w:rPr>
                <w:sz w:val="17"/>
                <w:szCs w:val="17"/>
                <w:color w:val="auto"/>
              </w:rPr>
            </w:pPr>
          </w:p>
        </w:tc>
        <w:tc>
          <w:tcPr>
            <w:tcW w:w="1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27,883</w:t>
            </w:r>
          </w:p>
        </w:tc>
        <w:tc>
          <w:tcPr>
            <w:tcW w:w="0" w:type="dxa"/>
            <w:vAlign w:val="bottom"/>
          </w:tcPr>
          <w:p>
            <w:pPr>
              <w:spacing w:after="0"/>
              <w:rPr>
                <w:sz w:val="1"/>
                <w:szCs w:val="1"/>
                <w:color w:val="auto"/>
              </w:rPr>
            </w:pPr>
          </w:p>
        </w:tc>
      </w:tr>
      <w:tr>
        <w:trPr>
          <w:trHeight w:val="203"/>
        </w:trPr>
        <w:tc>
          <w:tcPr>
            <w:tcW w:w="7940" w:type="dxa"/>
            <w:vAlign w:val="bottom"/>
          </w:tcPr>
          <w:p>
            <w:pPr>
              <w:ind w:left="160"/>
              <w:spacing w:after="0" w:line="202" w:lineRule="exact"/>
              <w:rPr>
                <w:sz w:val="20"/>
                <w:szCs w:val="20"/>
                <w:color w:val="auto"/>
              </w:rPr>
            </w:pPr>
            <w:r>
              <w:rPr>
                <w:rFonts w:ascii="Arial" w:cs="Arial" w:eastAsia="Arial" w:hAnsi="Arial"/>
                <w:sz w:val="18"/>
                <w:szCs w:val="18"/>
                <w:color w:val="auto"/>
              </w:rPr>
              <w:t>Refinitiv market data fees</w:t>
            </w:r>
          </w:p>
        </w:tc>
        <w:tc>
          <w:tcPr>
            <w:tcW w:w="240" w:type="dxa"/>
            <w:vAlign w:val="bottom"/>
          </w:tcPr>
          <w:p>
            <w:pPr>
              <w:spacing w:after="0"/>
              <w:rPr>
                <w:sz w:val="17"/>
                <w:szCs w:val="17"/>
                <w:color w:val="auto"/>
              </w:rPr>
            </w:pPr>
          </w:p>
        </w:tc>
        <w:tc>
          <w:tcPr>
            <w:tcW w:w="15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13,616</w:t>
            </w:r>
          </w:p>
        </w:tc>
        <w:tc>
          <w:tcPr>
            <w:tcW w:w="320" w:type="dxa"/>
            <w:vAlign w:val="bottom"/>
            <w:tcBorders>
              <w:left w:val="single" w:sz="8" w:color="auto"/>
            </w:tcBorders>
          </w:tcPr>
          <w:p>
            <w:pPr>
              <w:spacing w:after="0"/>
              <w:rPr>
                <w:sz w:val="17"/>
                <w:szCs w:val="17"/>
                <w:color w:val="auto"/>
              </w:rPr>
            </w:pPr>
          </w:p>
        </w:tc>
        <w:tc>
          <w:tcPr>
            <w:tcW w:w="1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12,237</w:t>
            </w:r>
          </w:p>
        </w:tc>
        <w:tc>
          <w:tcPr>
            <w:tcW w:w="0" w:type="dxa"/>
            <w:vAlign w:val="bottom"/>
          </w:tcPr>
          <w:p>
            <w:pPr>
              <w:spacing w:after="0"/>
              <w:rPr>
                <w:sz w:val="1"/>
                <w:szCs w:val="1"/>
                <w:color w:val="auto"/>
              </w:rPr>
            </w:pPr>
          </w:p>
        </w:tc>
      </w:tr>
      <w:tr>
        <w:trPr>
          <w:trHeight w:val="203"/>
        </w:trPr>
        <w:tc>
          <w:tcPr>
            <w:tcW w:w="7940" w:type="dxa"/>
            <w:vAlign w:val="bottom"/>
          </w:tcPr>
          <w:p>
            <w:pPr>
              <w:ind w:left="160"/>
              <w:spacing w:after="0" w:line="203" w:lineRule="exact"/>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100"/>
              <w:spacing w:after="0" w:line="203" w:lineRule="exact"/>
              <w:rPr>
                <w:sz w:val="20"/>
                <w:szCs w:val="20"/>
                <w:color w:val="auto"/>
              </w:rPr>
            </w:pPr>
            <w:r>
              <w:rPr>
                <w:rFonts w:ascii="Arial" w:cs="Arial" w:eastAsia="Arial" w:hAnsi="Arial"/>
                <w:sz w:val="18"/>
                <w:szCs w:val="18"/>
                <w:color w:val="auto"/>
              </w:rPr>
              <w:t>1,894</w:t>
            </w:r>
          </w:p>
        </w:tc>
        <w:tc>
          <w:tcPr>
            <w:tcW w:w="320" w:type="dxa"/>
            <w:vAlign w:val="bottom"/>
            <w:tcBorders>
              <w:left w:val="single" w:sz="8" w:color="auto"/>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ind w:right="60"/>
              <w:spacing w:after="0" w:line="203" w:lineRule="exact"/>
              <w:rPr>
                <w:sz w:val="20"/>
                <w:szCs w:val="20"/>
                <w:color w:val="auto"/>
              </w:rPr>
            </w:pPr>
            <w:r>
              <w:rPr>
                <w:rFonts w:ascii="Arial" w:cs="Arial" w:eastAsia="Arial" w:hAnsi="Arial"/>
                <w:sz w:val="18"/>
                <w:szCs w:val="18"/>
                <w:color w:val="auto"/>
              </w:rPr>
              <w:t>2,918</w:t>
            </w:r>
          </w:p>
        </w:tc>
        <w:tc>
          <w:tcPr>
            <w:tcW w:w="0" w:type="dxa"/>
            <w:vAlign w:val="bottom"/>
          </w:tcPr>
          <w:p>
            <w:pPr>
              <w:spacing w:after="0"/>
              <w:rPr>
                <w:sz w:val="1"/>
                <w:szCs w:val="1"/>
                <w:color w:val="auto"/>
              </w:rPr>
            </w:pPr>
          </w:p>
        </w:tc>
      </w:tr>
      <w:tr>
        <w:trPr>
          <w:trHeight w:val="195"/>
        </w:trPr>
        <w:tc>
          <w:tcPr>
            <w:tcW w:w="7940" w:type="dxa"/>
            <w:vAlign w:val="bottom"/>
          </w:tcPr>
          <w:p>
            <w:pPr>
              <w:ind w:left="300"/>
              <w:spacing w:after="0" w:line="195" w:lineRule="exact"/>
              <w:rPr>
                <w:sz w:val="20"/>
                <w:szCs w:val="20"/>
                <w:color w:val="auto"/>
              </w:rPr>
            </w:pPr>
            <w:r>
              <w:rPr>
                <w:rFonts w:ascii="Arial" w:cs="Arial" w:eastAsia="Arial" w:hAnsi="Arial"/>
                <w:sz w:val="18"/>
                <w:szCs w:val="18"/>
                <w:b w:val="1"/>
                <w:bCs w:val="1"/>
                <w:color w:val="auto"/>
              </w:rPr>
              <w:t>Gross revenue</w:t>
            </w:r>
          </w:p>
        </w:tc>
        <w:tc>
          <w:tcPr>
            <w:tcW w:w="240" w:type="dxa"/>
            <w:vAlign w:val="bottom"/>
          </w:tcPr>
          <w:p>
            <w:pPr>
              <w:spacing w:after="0"/>
              <w:rPr>
                <w:sz w:val="16"/>
                <w:szCs w:val="16"/>
                <w:color w:val="auto"/>
              </w:rPr>
            </w:pPr>
          </w:p>
        </w:tc>
        <w:tc>
          <w:tcPr>
            <w:tcW w:w="1520" w:type="dxa"/>
            <w:vAlign w:val="bottom"/>
            <w:gridSpan w:val="3"/>
          </w:tcPr>
          <w:p>
            <w:pPr>
              <w:jc w:val="right"/>
              <w:ind w:right="100"/>
              <w:spacing w:after="0" w:line="195" w:lineRule="exact"/>
              <w:rPr>
                <w:sz w:val="20"/>
                <w:szCs w:val="20"/>
                <w:color w:val="auto"/>
              </w:rPr>
            </w:pPr>
            <w:r>
              <w:rPr>
                <w:rFonts w:ascii="Arial" w:cs="Arial" w:eastAsia="Arial" w:hAnsi="Arial"/>
                <w:sz w:val="18"/>
                <w:szCs w:val="18"/>
                <w:b w:val="1"/>
                <w:bCs w:val="1"/>
                <w:color w:val="auto"/>
              </w:rPr>
              <w:t>186,792</w:t>
            </w:r>
          </w:p>
        </w:tc>
        <w:tc>
          <w:tcPr>
            <w:tcW w:w="320" w:type="dxa"/>
            <w:vAlign w:val="bottom"/>
            <w:tcBorders>
              <w:left w:val="single" w:sz="8" w:color="auto"/>
            </w:tcBorders>
          </w:tcPr>
          <w:p>
            <w:pPr>
              <w:spacing w:after="0"/>
              <w:rPr>
                <w:sz w:val="16"/>
                <w:szCs w:val="16"/>
                <w:color w:val="auto"/>
              </w:rPr>
            </w:pPr>
          </w:p>
        </w:tc>
        <w:tc>
          <w:tcPr>
            <w:tcW w:w="1400" w:type="dxa"/>
            <w:vAlign w:val="bottom"/>
            <w:gridSpan w:val="2"/>
          </w:tcPr>
          <w:p>
            <w:pPr>
              <w:jc w:val="right"/>
              <w:ind w:right="60"/>
              <w:spacing w:after="0" w:line="195" w:lineRule="exact"/>
              <w:rPr>
                <w:sz w:val="20"/>
                <w:szCs w:val="20"/>
                <w:color w:val="auto"/>
              </w:rPr>
            </w:pPr>
            <w:r>
              <w:rPr>
                <w:rFonts w:ascii="Arial" w:cs="Arial" w:eastAsia="Arial" w:hAnsi="Arial"/>
                <w:sz w:val="18"/>
                <w:szCs w:val="18"/>
                <w:b w:val="1"/>
                <w:bCs w:val="1"/>
                <w:color w:val="auto"/>
              </w:rPr>
              <w:t>169,503</w:t>
            </w:r>
          </w:p>
        </w:tc>
        <w:tc>
          <w:tcPr>
            <w:tcW w:w="0" w:type="dxa"/>
            <w:vAlign w:val="bottom"/>
          </w:tcPr>
          <w:p>
            <w:pPr>
              <w:spacing w:after="0"/>
              <w:rPr>
                <w:sz w:val="1"/>
                <w:szCs w:val="1"/>
                <w:color w:val="auto"/>
              </w:rPr>
            </w:pPr>
          </w:p>
        </w:tc>
      </w:tr>
      <w:tr>
        <w:trPr>
          <w:trHeight w:val="203"/>
        </w:trPr>
        <w:tc>
          <w:tcPr>
            <w:tcW w:w="7940" w:type="dxa"/>
            <w:vAlign w:val="bottom"/>
          </w:tcPr>
          <w:p>
            <w:pPr>
              <w:ind w:left="160"/>
              <w:spacing w:after="0" w:line="203" w:lineRule="exact"/>
              <w:rPr>
                <w:sz w:val="20"/>
                <w:szCs w:val="20"/>
                <w:color w:val="auto"/>
              </w:rPr>
            </w:pPr>
            <w:r>
              <w:rPr>
                <w:rFonts w:ascii="Arial" w:cs="Arial" w:eastAsia="Arial" w:hAnsi="Arial"/>
                <w:sz w:val="18"/>
                <w:szCs w:val="18"/>
                <w:color w:val="auto"/>
              </w:rPr>
              <w:t>Contingent consideration</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left w:val="single" w:sz="8" w:color="auto"/>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ind w:right="60"/>
              <w:spacing w:after="0" w:line="203" w:lineRule="exact"/>
              <w:rPr>
                <w:sz w:val="20"/>
                <w:szCs w:val="20"/>
                <w:color w:val="auto"/>
              </w:rPr>
            </w:pPr>
            <w:r>
              <w:rPr>
                <w:rFonts w:ascii="Arial" w:cs="Arial" w:eastAsia="Arial" w:hAnsi="Arial"/>
                <w:sz w:val="18"/>
                <w:szCs w:val="18"/>
                <w:color w:val="auto"/>
              </w:rPr>
              <w:t>(10,070)</w:t>
            </w:r>
          </w:p>
        </w:tc>
        <w:tc>
          <w:tcPr>
            <w:tcW w:w="0" w:type="dxa"/>
            <w:vAlign w:val="bottom"/>
          </w:tcPr>
          <w:p>
            <w:pPr>
              <w:spacing w:after="0"/>
              <w:rPr>
                <w:sz w:val="1"/>
                <w:szCs w:val="1"/>
                <w:color w:val="auto"/>
              </w:rPr>
            </w:pPr>
          </w:p>
        </w:tc>
      </w:tr>
      <w:tr>
        <w:trPr>
          <w:trHeight w:val="196"/>
        </w:trPr>
        <w:tc>
          <w:tcPr>
            <w:tcW w:w="7940" w:type="dxa"/>
            <w:vAlign w:val="bottom"/>
          </w:tcPr>
          <w:p>
            <w:pPr>
              <w:spacing w:after="0" w:line="196" w:lineRule="exact"/>
              <w:rPr>
                <w:sz w:val="20"/>
                <w:szCs w:val="20"/>
                <w:color w:val="auto"/>
              </w:rPr>
            </w:pPr>
            <w:r>
              <w:rPr>
                <w:rFonts w:ascii="Arial" w:cs="Arial" w:eastAsia="Arial" w:hAnsi="Arial"/>
                <w:sz w:val="18"/>
                <w:szCs w:val="18"/>
                <w:b w:val="1"/>
                <w:bCs w:val="1"/>
                <w:color w:val="auto"/>
              </w:rPr>
              <w:t>Net revenue</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100"/>
              <w:spacing w:after="0" w:line="196" w:lineRule="exact"/>
              <w:rPr>
                <w:sz w:val="20"/>
                <w:szCs w:val="20"/>
                <w:color w:val="auto"/>
              </w:rPr>
            </w:pPr>
            <w:r>
              <w:rPr>
                <w:rFonts w:ascii="Arial" w:cs="Arial" w:eastAsia="Arial" w:hAnsi="Arial"/>
                <w:sz w:val="18"/>
                <w:szCs w:val="18"/>
                <w:b w:val="1"/>
                <w:bCs w:val="1"/>
                <w:color w:val="auto"/>
              </w:rPr>
              <w:t>186,792</w:t>
            </w:r>
          </w:p>
        </w:tc>
        <w:tc>
          <w:tcPr>
            <w:tcW w:w="320" w:type="dxa"/>
            <w:vAlign w:val="bottom"/>
            <w:tcBorders>
              <w:left w:val="single" w:sz="8" w:color="auto"/>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b w:val="1"/>
                <w:bCs w:val="1"/>
                <w:color w:val="auto"/>
              </w:rPr>
              <w:t>159,433</w:t>
            </w:r>
          </w:p>
        </w:tc>
        <w:tc>
          <w:tcPr>
            <w:tcW w:w="0" w:type="dxa"/>
            <w:vAlign w:val="bottom"/>
          </w:tcPr>
          <w:p>
            <w:pPr>
              <w:spacing w:after="0"/>
              <w:rPr>
                <w:sz w:val="1"/>
                <w:szCs w:val="1"/>
                <w:color w:val="auto"/>
              </w:rPr>
            </w:pPr>
          </w:p>
        </w:tc>
      </w:tr>
      <w:tr>
        <w:trPr>
          <w:trHeight w:val="411"/>
        </w:trPr>
        <w:tc>
          <w:tcPr>
            <w:tcW w:w="79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Borders>
              <w:left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160"/>
              <w:spacing w:after="0" w:line="202" w:lineRule="exact"/>
              <w:rPr>
                <w:sz w:val="20"/>
                <w:szCs w:val="20"/>
                <w:color w:val="auto"/>
              </w:rPr>
            </w:pPr>
            <w:r>
              <w:rPr>
                <w:rFonts w:ascii="Arial" w:cs="Arial" w:eastAsia="Arial" w:hAnsi="Arial"/>
                <w:sz w:val="18"/>
                <w:szCs w:val="18"/>
                <w:color w:val="auto"/>
              </w:rPr>
              <w:t>Employee compensation and benefits</w:t>
            </w:r>
          </w:p>
        </w:tc>
        <w:tc>
          <w:tcPr>
            <w:tcW w:w="240" w:type="dxa"/>
            <w:vAlign w:val="bottom"/>
          </w:tcPr>
          <w:p>
            <w:pPr>
              <w:spacing w:after="0"/>
              <w:rPr>
                <w:sz w:val="17"/>
                <w:szCs w:val="17"/>
                <w:color w:val="auto"/>
              </w:rPr>
            </w:pPr>
          </w:p>
        </w:tc>
        <w:tc>
          <w:tcPr>
            <w:tcW w:w="15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77,273</w:t>
            </w:r>
          </w:p>
        </w:tc>
        <w:tc>
          <w:tcPr>
            <w:tcW w:w="320" w:type="dxa"/>
            <w:vAlign w:val="bottom"/>
            <w:tcBorders>
              <w:left w:val="single" w:sz="8" w:color="auto"/>
            </w:tcBorders>
          </w:tcPr>
          <w:p>
            <w:pPr>
              <w:spacing w:after="0"/>
              <w:rPr>
                <w:sz w:val="17"/>
                <w:szCs w:val="17"/>
                <w:color w:val="auto"/>
              </w:rPr>
            </w:pPr>
          </w:p>
        </w:tc>
        <w:tc>
          <w:tcPr>
            <w:tcW w:w="1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71,570</w:t>
            </w:r>
          </w:p>
        </w:tc>
        <w:tc>
          <w:tcPr>
            <w:tcW w:w="0" w:type="dxa"/>
            <w:vAlign w:val="bottom"/>
          </w:tcPr>
          <w:p>
            <w:pPr>
              <w:spacing w:after="0"/>
              <w:rPr>
                <w:sz w:val="1"/>
                <w:szCs w:val="1"/>
                <w:color w:val="auto"/>
              </w:rPr>
            </w:pPr>
          </w:p>
        </w:tc>
      </w:tr>
      <w:tr>
        <w:trPr>
          <w:trHeight w:val="203"/>
        </w:trPr>
        <w:tc>
          <w:tcPr>
            <w:tcW w:w="7940" w:type="dxa"/>
            <w:vAlign w:val="bottom"/>
          </w:tcPr>
          <w:p>
            <w:pPr>
              <w:ind w:left="160"/>
              <w:spacing w:after="0" w:line="202" w:lineRule="exact"/>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7"/>
                <w:szCs w:val="17"/>
                <w:color w:val="auto"/>
              </w:rPr>
            </w:pPr>
          </w:p>
        </w:tc>
        <w:tc>
          <w:tcPr>
            <w:tcW w:w="15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33,503</w:t>
            </w:r>
          </w:p>
        </w:tc>
        <w:tc>
          <w:tcPr>
            <w:tcW w:w="320" w:type="dxa"/>
            <w:vAlign w:val="bottom"/>
            <w:tcBorders>
              <w:left w:val="single" w:sz="8" w:color="auto"/>
            </w:tcBorders>
          </w:tcPr>
          <w:p>
            <w:pPr>
              <w:spacing w:after="0"/>
              <w:rPr>
                <w:sz w:val="17"/>
                <w:szCs w:val="17"/>
                <w:color w:val="auto"/>
              </w:rPr>
            </w:pPr>
          </w:p>
        </w:tc>
        <w:tc>
          <w:tcPr>
            <w:tcW w:w="1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16,268</w:t>
            </w:r>
          </w:p>
        </w:tc>
        <w:tc>
          <w:tcPr>
            <w:tcW w:w="0" w:type="dxa"/>
            <w:vAlign w:val="bottom"/>
          </w:tcPr>
          <w:p>
            <w:pPr>
              <w:spacing w:after="0"/>
              <w:rPr>
                <w:sz w:val="1"/>
                <w:szCs w:val="1"/>
                <w:color w:val="auto"/>
              </w:rPr>
            </w:pPr>
          </w:p>
        </w:tc>
      </w:tr>
      <w:tr>
        <w:trPr>
          <w:trHeight w:val="203"/>
        </w:trPr>
        <w:tc>
          <w:tcPr>
            <w:tcW w:w="7940" w:type="dxa"/>
            <w:vAlign w:val="bottom"/>
          </w:tcPr>
          <w:p>
            <w:pPr>
              <w:ind w:left="160"/>
              <w:spacing w:after="0" w:line="202" w:lineRule="exact"/>
              <w:rPr>
                <w:sz w:val="20"/>
                <w:szCs w:val="20"/>
                <w:color w:val="auto"/>
              </w:rPr>
            </w:pPr>
            <w:r>
              <w:rPr>
                <w:rFonts w:ascii="Arial" w:cs="Arial" w:eastAsia="Arial" w:hAnsi="Arial"/>
                <w:sz w:val="18"/>
                <w:szCs w:val="18"/>
                <w:color w:val="auto"/>
              </w:rPr>
              <w:t>Technology and communications</w:t>
            </w:r>
          </w:p>
        </w:tc>
        <w:tc>
          <w:tcPr>
            <w:tcW w:w="240" w:type="dxa"/>
            <w:vAlign w:val="bottom"/>
          </w:tcPr>
          <w:p>
            <w:pPr>
              <w:spacing w:after="0"/>
              <w:rPr>
                <w:sz w:val="17"/>
                <w:szCs w:val="17"/>
                <w:color w:val="auto"/>
              </w:rPr>
            </w:pPr>
          </w:p>
        </w:tc>
        <w:tc>
          <w:tcPr>
            <w:tcW w:w="15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10,040</w:t>
            </w:r>
          </w:p>
        </w:tc>
        <w:tc>
          <w:tcPr>
            <w:tcW w:w="320" w:type="dxa"/>
            <w:vAlign w:val="bottom"/>
            <w:tcBorders>
              <w:left w:val="single" w:sz="8" w:color="auto"/>
            </w:tcBorders>
          </w:tcPr>
          <w:p>
            <w:pPr>
              <w:spacing w:after="0"/>
              <w:rPr>
                <w:sz w:val="17"/>
                <w:szCs w:val="17"/>
                <w:color w:val="auto"/>
              </w:rPr>
            </w:pPr>
          </w:p>
        </w:tc>
        <w:tc>
          <w:tcPr>
            <w:tcW w:w="1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8,463</w:t>
            </w:r>
          </w:p>
        </w:tc>
        <w:tc>
          <w:tcPr>
            <w:tcW w:w="0" w:type="dxa"/>
            <w:vAlign w:val="bottom"/>
          </w:tcPr>
          <w:p>
            <w:pPr>
              <w:spacing w:after="0"/>
              <w:rPr>
                <w:sz w:val="1"/>
                <w:szCs w:val="1"/>
                <w:color w:val="auto"/>
              </w:rPr>
            </w:pPr>
          </w:p>
        </w:tc>
      </w:tr>
      <w:tr>
        <w:trPr>
          <w:trHeight w:val="203"/>
        </w:trPr>
        <w:tc>
          <w:tcPr>
            <w:tcW w:w="7940" w:type="dxa"/>
            <w:vAlign w:val="bottom"/>
          </w:tcPr>
          <w:p>
            <w:pPr>
              <w:ind w:left="160"/>
              <w:spacing w:after="0" w:line="202" w:lineRule="exact"/>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7"/>
                <w:szCs w:val="17"/>
                <w:color w:val="auto"/>
              </w:rPr>
            </w:pPr>
          </w:p>
        </w:tc>
        <w:tc>
          <w:tcPr>
            <w:tcW w:w="15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9,089</w:t>
            </w:r>
          </w:p>
        </w:tc>
        <w:tc>
          <w:tcPr>
            <w:tcW w:w="320" w:type="dxa"/>
            <w:vAlign w:val="bottom"/>
            <w:tcBorders>
              <w:left w:val="single" w:sz="8" w:color="auto"/>
            </w:tcBorders>
          </w:tcPr>
          <w:p>
            <w:pPr>
              <w:spacing w:after="0"/>
              <w:rPr>
                <w:sz w:val="17"/>
                <w:szCs w:val="17"/>
                <w:color w:val="auto"/>
              </w:rPr>
            </w:pPr>
          </w:p>
        </w:tc>
        <w:tc>
          <w:tcPr>
            <w:tcW w:w="1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6,517</w:t>
            </w:r>
          </w:p>
        </w:tc>
        <w:tc>
          <w:tcPr>
            <w:tcW w:w="0" w:type="dxa"/>
            <w:vAlign w:val="bottom"/>
          </w:tcPr>
          <w:p>
            <w:pPr>
              <w:spacing w:after="0"/>
              <w:rPr>
                <w:sz w:val="1"/>
                <w:szCs w:val="1"/>
                <w:color w:val="auto"/>
              </w:rPr>
            </w:pPr>
          </w:p>
        </w:tc>
      </w:tr>
      <w:tr>
        <w:trPr>
          <w:trHeight w:val="203"/>
        </w:trPr>
        <w:tc>
          <w:tcPr>
            <w:tcW w:w="7940" w:type="dxa"/>
            <w:vAlign w:val="bottom"/>
          </w:tcPr>
          <w:p>
            <w:pPr>
              <w:ind w:left="160"/>
              <w:spacing w:after="0" w:line="202" w:lineRule="exact"/>
              <w:rPr>
                <w:sz w:val="20"/>
                <w:szCs w:val="20"/>
                <w:color w:val="auto"/>
              </w:rPr>
            </w:pPr>
            <w:r>
              <w:rPr>
                <w:rFonts w:ascii="Arial" w:cs="Arial" w:eastAsia="Arial" w:hAnsi="Arial"/>
                <w:sz w:val="18"/>
                <w:szCs w:val="18"/>
                <w:color w:val="auto"/>
              </w:rPr>
              <w:t>Professional fees</w:t>
            </w:r>
          </w:p>
        </w:tc>
        <w:tc>
          <w:tcPr>
            <w:tcW w:w="240" w:type="dxa"/>
            <w:vAlign w:val="bottom"/>
          </w:tcPr>
          <w:p>
            <w:pPr>
              <w:spacing w:after="0"/>
              <w:rPr>
                <w:sz w:val="17"/>
                <w:szCs w:val="17"/>
                <w:color w:val="auto"/>
              </w:rPr>
            </w:pPr>
          </w:p>
        </w:tc>
        <w:tc>
          <w:tcPr>
            <w:tcW w:w="15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6,971</w:t>
            </w:r>
          </w:p>
        </w:tc>
        <w:tc>
          <w:tcPr>
            <w:tcW w:w="320" w:type="dxa"/>
            <w:vAlign w:val="bottom"/>
            <w:tcBorders>
              <w:left w:val="single" w:sz="8" w:color="auto"/>
            </w:tcBorders>
          </w:tcPr>
          <w:p>
            <w:pPr>
              <w:spacing w:after="0"/>
              <w:rPr>
                <w:sz w:val="17"/>
                <w:szCs w:val="17"/>
                <w:color w:val="auto"/>
              </w:rPr>
            </w:pPr>
          </w:p>
        </w:tc>
        <w:tc>
          <w:tcPr>
            <w:tcW w:w="1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5,538</w:t>
            </w:r>
          </w:p>
        </w:tc>
        <w:tc>
          <w:tcPr>
            <w:tcW w:w="0" w:type="dxa"/>
            <w:vAlign w:val="bottom"/>
          </w:tcPr>
          <w:p>
            <w:pPr>
              <w:spacing w:after="0"/>
              <w:rPr>
                <w:sz w:val="1"/>
                <w:szCs w:val="1"/>
                <w:color w:val="auto"/>
              </w:rPr>
            </w:pPr>
          </w:p>
        </w:tc>
      </w:tr>
      <w:tr>
        <w:trPr>
          <w:trHeight w:val="203"/>
        </w:trPr>
        <w:tc>
          <w:tcPr>
            <w:tcW w:w="7940" w:type="dxa"/>
            <w:vAlign w:val="bottom"/>
          </w:tcPr>
          <w:p>
            <w:pPr>
              <w:ind w:left="160"/>
              <w:spacing w:after="0" w:line="203" w:lineRule="exact"/>
              <w:rPr>
                <w:sz w:val="20"/>
                <w:szCs w:val="20"/>
                <w:color w:val="auto"/>
              </w:rPr>
            </w:pPr>
            <w:r>
              <w:rPr>
                <w:rFonts w:ascii="Arial" w:cs="Arial" w:eastAsia="Arial" w:hAnsi="Arial"/>
                <w:sz w:val="18"/>
                <w:szCs w:val="18"/>
                <w:color w:val="auto"/>
              </w:rPr>
              <w:t>Occupancy</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100"/>
              <w:spacing w:after="0" w:line="203" w:lineRule="exact"/>
              <w:rPr>
                <w:sz w:val="20"/>
                <w:szCs w:val="20"/>
                <w:color w:val="auto"/>
              </w:rPr>
            </w:pPr>
            <w:r>
              <w:rPr>
                <w:rFonts w:ascii="Arial" w:cs="Arial" w:eastAsia="Arial" w:hAnsi="Arial"/>
                <w:sz w:val="18"/>
                <w:szCs w:val="18"/>
                <w:color w:val="auto"/>
              </w:rPr>
              <w:t>3,639</w:t>
            </w:r>
          </w:p>
        </w:tc>
        <w:tc>
          <w:tcPr>
            <w:tcW w:w="320" w:type="dxa"/>
            <w:vAlign w:val="bottom"/>
            <w:tcBorders>
              <w:left w:val="single" w:sz="8" w:color="auto"/>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ind w:right="60"/>
              <w:spacing w:after="0" w:line="203" w:lineRule="exact"/>
              <w:rPr>
                <w:sz w:val="20"/>
                <w:szCs w:val="20"/>
                <w:color w:val="auto"/>
              </w:rPr>
            </w:pPr>
            <w:r>
              <w:rPr>
                <w:rFonts w:ascii="Arial" w:cs="Arial" w:eastAsia="Arial" w:hAnsi="Arial"/>
                <w:sz w:val="18"/>
                <w:szCs w:val="18"/>
                <w:color w:val="auto"/>
              </w:rPr>
              <w:t>3,722</w:t>
            </w:r>
          </w:p>
        </w:tc>
        <w:tc>
          <w:tcPr>
            <w:tcW w:w="0" w:type="dxa"/>
            <w:vAlign w:val="bottom"/>
          </w:tcPr>
          <w:p>
            <w:pPr>
              <w:spacing w:after="0"/>
              <w:rPr>
                <w:sz w:val="1"/>
                <w:szCs w:val="1"/>
                <w:color w:val="auto"/>
              </w:rPr>
            </w:pPr>
          </w:p>
        </w:tc>
      </w:tr>
      <w:tr>
        <w:trPr>
          <w:trHeight w:val="196"/>
        </w:trPr>
        <w:tc>
          <w:tcPr>
            <w:tcW w:w="7940" w:type="dxa"/>
            <w:vAlign w:val="bottom"/>
          </w:tcPr>
          <w:p>
            <w:pPr>
              <w:ind w:left="300"/>
              <w:spacing w:after="0" w:line="196" w:lineRule="exact"/>
              <w:rPr>
                <w:sz w:val="20"/>
                <w:szCs w:val="20"/>
                <w:color w:val="auto"/>
              </w:rPr>
            </w:pPr>
            <w:r>
              <w:rPr>
                <w:rFonts w:ascii="Arial" w:cs="Arial" w:eastAsia="Arial" w:hAnsi="Arial"/>
                <w:sz w:val="18"/>
                <w:szCs w:val="18"/>
                <w:b w:val="1"/>
                <w:bCs w:val="1"/>
                <w:color w:val="auto"/>
              </w:rPr>
              <w:t>Total expenses</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100"/>
              <w:spacing w:after="0" w:line="196" w:lineRule="exact"/>
              <w:rPr>
                <w:sz w:val="20"/>
                <w:szCs w:val="20"/>
                <w:color w:val="auto"/>
              </w:rPr>
            </w:pPr>
            <w:r>
              <w:rPr>
                <w:rFonts w:ascii="Arial" w:cs="Arial" w:eastAsia="Arial" w:hAnsi="Arial"/>
                <w:sz w:val="18"/>
                <w:szCs w:val="18"/>
                <w:color w:val="auto"/>
              </w:rPr>
              <w:t>140,515</w:t>
            </w: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112,078</w:t>
            </w:r>
          </w:p>
        </w:tc>
        <w:tc>
          <w:tcPr>
            <w:tcW w:w="0" w:type="dxa"/>
            <w:vAlign w:val="bottom"/>
          </w:tcPr>
          <w:p>
            <w:pPr>
              <w:spacing w:after="0"/>
              <w:rPr>
                <w:sz w:val="1"/>
                <w:szCs w:val="1"/>
                <w:color w:val="auto"/>
              </w:rPr>
            </w:pPr>
          </w:p>
        </w:tc>
      </w:tr>
      <w:tr>
        <w:trPr>
          <w:trHeight w:val="196"/>
        </w:trPr>
        <w:tc>
          <w:tcPr>
            <w:tcW w:w="7940" w:type="dxa"/>
            <w:vAlign w:val="bottom"/>
          </w:tcPr>
          <w:p>
            <w:pPr>
              <w:spacing w:after="0" w:line="196" w:lineRule="exact"/>
              <w:rPr>
                <w:sz w:val="20"/>
                <w:szCs w:val="20"/>
                <w:color w:val="auto"/>
              </w:rPr>
            </w:pPr>
            <w:r>
              <w:rPr>
                <w:rFonts w:ascii="Arial" w:cs="Arial" w:eastAsia="Arial" w:hAnsi="Arial"/>
                <w:sz w:val="18"/>
                <w:szCs w:val="18"/>
                <w:b w:val="1"/>
                <w:bCs w:val="1"/>
                <w:color w:val="auto"/>
              </w:rPr>
              <w:t>Operating income</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100"/>
              <w:spacing w:after="0" w:line="196" w:lineRule="exact"/>
              <w:rPr>
                <w:sz w:val="20"/>
                <w:szCs w:val="20"/>
                <w:color w:val="auto"/>
              </w:rPr>
            </w:pPr>
            <w:r>
              <w:rPr>
                <w:rFonts w:ascii="Arial" w:cs="Arial" w:eastAsia="Arial" w:hAnsi="Arial"/>
                <w:sz w:val="18"/>
                <w:szCs w:val="18"/>
                <w:b w:val="1"/>
                <w:bCs w:val="1"/>
                <w:color w:val="auto"/>
              </w:rPr>
              <w:t>46,277</w:t>
            </w:r>
          </w:p>
        </w:tc>
        <w:tc>
          <w:tcPr>
            <w:tcW w:w="320" w:type="dxa"/>
            <w:vAlign w:val="bottom"/>
            <w:tcBorders>
              <w:left w:val="single" w:sz="8" w:color="auto"/>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b w:val="1"/>
                <w:bCs w:val="1"/>
                <w:color w:val="auto"/>
              </w:rPr>
              <w:t>47,355</w:t>
            </w:r>
          </w:p>
        </w:tc>
        <w:tc>
          <w:tcPr>
            <w:tcW w:w="0" w:type="dxa"/>
            <w:vAlign w:val="bottom"/>
          </w:tcPr>
          <w:p>
            <w:pPr>
              <w:spacing w:after="0"/>
              <w:rPr>
                <w:sz w:val="1"/>
                <w:szCs w:val="1"/>
                <w:color w:val="auto"/>
              </w:rPr>
            </w:pPr>
          </w:p>
        </w:tc>
      </w:tr>
      <w:tr>
        <w:trPr>
          <w:trHeight w:val="196"/>
        </w:trPr>
        <w:tc>
          <w:tcPr>
            <w:tcW w:w="7940" w:type="dxa"/>
            <w:vAlign w:val="bottom"/>
          </w:tcPr>
          <w:p>
            <w:pPr>
              <w:ind w:left="160"/>
              <w:spacing w:after="0" w:line="196" w:lineRule="exact"/>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100"/>
              <w:spacing w:after="0" w:line="196" w:lineRule="exact"/>
              <w:rPr>
                <w:sz w:val="20"/>
                <w:szCs w:val="20"/>
                <w:color w:val="auto"/>
              </w:rPr>
            </w:pPr>
            <w:r>
              <w:rPr>
                <w:rFonts w:ascii="Arial" w:cs="Arial" w:eastAsia="Arial" w:hAnsi="Arial"/>
                <w:sz w:val="18"/>
                <w:szCs w:val="18"/>
                <w:color w:val="auto"/>
              </w:rPr>
              <w:t>858</w:t>
            </w:r>
          </w:p>
        </w:tc>
        <w:tc>
          <w:tcPr>
            <w:tcW w:w="320" w:type="dxa"/>
            <w:vAlign w:val="bottom"/>
            <w:tcBorders>
              <w:left w:val="single" w:sz="8" w:color="auto"/>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195"/>
        </w:trPr>
        <w:tc>
          <w:tcPr>
            <w:tcW w:w="7940" w:type="dxa"/>
            <w:vAlign w:val="bottom"/>
          </w:tcPr>
          <w:p>
            <w:pPr>
              <w:spacing w:after="0" w:line="195" w:lineRule="exact"/>
              <w:rPr>
                <w:sz w:val="20"/>
                <w:szCs w:val="20"/>
                <w:color w:val="auto"/>
              </w:rPr>
            </w:pPr>
            <w:r>
              <w:rPr>
                <w:rFonts w:ascii="Arial" w:cs="Arial" w:eastAsia="Arial" w:hAnsi="Arial"/>
                <w:sz w:val="18"/>
                <w:szCs w:val="18"/>
                <w:b w:val="1"/>
                <w:bCs w:val="1"/>
                <w:color w:val="auto"/>
              </w:rPr>
              <w:t>Income before taxes</w:t>
            </w:r>
          </w:p>
        </w:tc>
        <w:tc>
          <w:tcPr>
            <w:tcW w:w="240" w:type="dxa"/>
            <w:vAlign w:val="bottom"/>
          </w:tcPr>
          <w:p>
            <w:pPr>
              <w:spacing w:after="0"/>
              <w:rPr>
                <w:sz w:val="16"/>
                <w:szCs w:val="16"/>
                <w:color w:val="auto"/>
              </w:rPr>
            </w:pPr>
          </w:p>
        </w:tc>
        <w:tc>
          <w:tcPr>
            <w:tcW w:w="1520" w:type="dxa"/>
            <w:vAlign w:val="bottom"/>
            <w:gridSpan w:val="3"/>
          </w:tcPr>
          <w:p>
            <w:pPr>
              <w:jc w:val="right"/>
              <w:ind w:right="100"/>
              <w:spacing w:after="0" w:line="195" w:lineRule="exact"/>
              <w:rPr>
                <w:sz w:val="20"/>
                <w:szCs w:val="20"/>
                <w:color w:val="auto"/>
              </w:rPr>
            </w:pPr>
            <w:r>
              <w:rPr>
                <w:rFonts w:ascii="Arial" w:cs="Arial" w:eastAsia="Arial" w:hAnsi="Arial"/>
                <w:sz w:val="18"/>
                <w:szCs w:val="18"/>
                <w:b w:val="1"/>
                <w:bCs w:val="1"/>
                <w:color w:val="auto"/>
              </w:rPr>
              <w:t>47,135</w:t>
            </w:r>
          </w:p>
        </w:tc>
        <w:tc>
          <w:tcPr>
            <w:tcW w:w="320" w:type="dxa"/>
            <w:vAlign w:val="bottom"/>
            <w:tcBorders>
              <w:left w:val="single" w:sz="8" w:color="auto"/>
            </w:tcBorders>
          </w:tcPr>
          <w:p>
            <w:pPr>
              <w:spacing w:after="0"/>
              <w:rPr>
                <w:sz w:val="16"/>
                <w:szCs w:val="16"/>
                <w:color w:val="auto"/>
              </w:rPr>
            </w:pPr>
          </w:p>
        </w:tc>
        <w:tc>
          <w:tcPr>
            <w:tcW w:w="1400" w:type="dxa"/>
            <w:vAlign w:val="bottom"/>
            <w:gridSpan w:val="2"/>
          </w:tcPr>
          <w:p>
            <w:pPr>
              <w:jc w:val="right"/>
              <w:ind w:right="60"/>
              <w:spacing w:after="0" w:line="195" w:lineRule="exact"/>
              <w:rPr>
                <w:sz w:val="20"/>
                <w:szCs w:val="20"/>
                <w:color w:val="auto"/>
              </w:rPr>
            </w:pPr>
            <w:r>
              <w:rPr>
                <w:rFonts w:ascii="Arial" w:cs="Arial" w:eastAsia="Arial" w:hAnsi="Arial"/>
                <w:sz w:val="18"/>
                <w:szCs w:val="18"/>
                <w:b w:val="1"/>
                <w:bCs w:val="1"/>
                <w:color w:val="auto"/>
              </w:rPr>
              <w:t>47,826</w:t>
            </w:r>
          </w:p>
        </w:tc>
        <w:tc>
          <w:tcPr>
            <w:tcW w:w="0" w:type="dxa"/>
            <w:vAlign w:val="bottom"/>
          </w:tcPr>
          <w:p>
            <w:pPr>
              <w:spacing w:after="0"/>
              <w:rPr>
                <w:sz w:val="1"/>
                <w:szCs w:val="1"/>
                <w:color w:val="auto"/>
              </w:rPr>
            </w:pPr>
          </w:p>
        </w:tc>
      </w:tr>
      <w:tr>
        <w:trPr>
          <w:trHeight w:val="203"/>
        </w:trPr>
        <w:tc>
          <w:tcPr>
            <w:tcW w:w="7940" w:type="dxa"/>
            <w:vAlign w:val="bottom"/>
          </w:tcPr>
          <w:p>
            <w:pPr>
              <w:spacing w:after="0" w:line="203" w:lineRule="exact"/>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100"/>
              <w:spacing w:after="0" w:line="203" w:lineRule="exact"/>
              <w:rPr>
                <w:sz w:val="20"/>
                <w:szCs w:val="20"/>
                <w:color w:val="auto"/>
              </w:rPr>
            </w:pPr>
            <w:r>
              <w:rPr>
                <w:rFonts w:ascii="Arial" w:cs="Arial" w:eastAsia="Arial" w:hAnsi="Arial"/>
                <w:sz w:val="18"/>
                <w:szCs w:val="18"/>
                <w:color w:val="auto"/>
              </w:rPr>
              <w:t>(4,738)</w:t>
            </w:r>
          </w:p>
        </w:tc>
        <w:tc>
          <w:tcPr>
            <w:tcW w:w="320" w:type="dxa"/>
            <w:vAlign w:val="bottom"/>
            <w:tcBorders>
              <w:left w:val="single" w:sz="8" w:color="auto"/>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ind w:right="60"/>
              <w:spacing w:after="0" w:line="203" w:lineRule="exact"/>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196"/>
        </w:trPr>
        <w:tc>
          <w:tcPr>
            <w:tcW w:w="7940" w:type="dxa"/>
            <w:vAlign w:val="bottom"/>
          </w:tcPr>
          <w:p>
            <w:pPr>
              <w:spacing w:after="0" w:line="196" w:lineRule="exact"/>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gridSpan w:val="3"/>
          </w:tcPr>
          <w:p>
            <w:pPr>
              <w:jc w:val="right"/>
              <w:ind w:right="160"/>
              <w:spacing w:after="0" w:line="196" w:lineRule="exact"/>
              <w:rPr>
                <w:sz w:val="20"/>
                <w:szCs w:val="20"/>
                <w:color w:val="auto"/>
              </w:rPr>
            </w:pPr>
            <w:r>
              <w:rPr>
                <w:rFonts w:ascii="Arial" w:cs="Arial" w:eastAsia="Arial" w:hAnsi="Arial"/>
                <w:sz w:val="18"/>
                <w:szCs w:val="18"/>
                <w:b w:val="1"/>
                <w:bCs w:val="1"/>
                <w:color w:val="auto"/>
              </w:rPr>
              <w:t>42,352</w:t>
            </w:r>
          </w:p>
        </w:tc>
        <w:tc>
          <w:tcPr>
            <w:tcW w:w="320" w:type="dxa"/>
            <w:vAlign w:val="bottom"/>
            <w:tcBorders>
              <w:left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gridSpan w:val="2"/>
          </w:tcPr>
          <w:p>
            <w:pPr>
              <w:jc w:val="right"/>
              <w:ind w:right="120"/>
              <w:spacing w:after="0" w:line="196" w:lineRule="exact"/>
              <w:rPr>
                <w:sz w:val="20"/>
                <w:szCs w:val="20"/>
                <w:color w:val="auto"/>
              </w:rPr>
            </w:pPr>
            <w:r>
              <w:rPr>
                <w:rFonts w:ascii="Arial" w:cs="Arial" w:eastAsia="Arial" w:hAnsi="Arial"/>
                <w:sz w:val="18"/>
                <w:szCs w:val="18"/>
                <w:b w:val="1"/>
                <w:bCs w:val="1"/>
                <w:color w:val="auto"/>
              </w:rPr>
              <w:t>45,308</w:t>
            </w:r>
          </w:p>
        </w:tc>
        <w:tc>
          <w:tcPr>
            <w:tcW w:w="0" w:type="dxa"/>
            <w:vAlign w:val="bottom"/>
          </w:tcPr>
          <w:p>
            <w:pPr>
              <w:spacing w:after="0"/>
              <w:rPr>
                <w:sz w:val="1"/>
                <w:szCs w:val="1"/>
                <w:color w:val="auto"/>
              </w:rPr>
            </w:pPr>
          </w:p>
        </w:tc>
      </w:tr>
      <w:tr>
        <w:trPr>
          <w:trHeight w:val="20"/>
        </w:trPr>
        <w:tc>
          <w:tcPr>
            <w:tcW w:w="7940" w:type="dxa"/>
            <w:vAlign w:val="bottom"/>
            <w:vMerge w:val="restart"/>
          </w:tcPr>
          <w:p>
            <w:pPr>
              <w:spacing w:after="0" w:line="195" w:lineRule="exact"/>
              <w:rPr>
                <w:sz w:val="20"/>
                <w:szCs w:val="20"/>
                <w:color w:val="auto"/>
              </w:rPr>
            </w:pPr>
            <w:r>
              <w:rPr>
                <w:rFonts w:ascii="Arial" w:cs="Arial" w:eastAsia="Arial" w:hAnsi="Arial"/>
                <w:sz w:val="18"/>
                <w:szCs w:val="18"/>
                <w:color w:val="auto"/>
              </w:rPr>
              <w:t>Net income per share</w:t>
            </w: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9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160"/>
              <w:spacing w:after="0" w:line="202" w:lineRule="exact"/>
              <w:rPr>
                <w:sz w:val="20"/>
                <w:szCs w:val="20"/>
                <w:color w:val="auto"/>
              </w:rPr>
            </w:pPr>
            <w:r>
              <w:rPr>
                <w:rFonts w:ascii="Arial" w:cs="Arial" w:eastAsia="Arial" w:hAnsi="Arial"/>
                <w:sz w:val="18"/>
                <w:szCs w:val="18"/>
                <w:color w:val="auto"/>
              </w:rPr>
              <w:t>Basic</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0.19</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190"/>
        </w:trPr>
        <w:tc>
          <w:tcPr>
            <w:tcW w:w="7940" w:type="dxa"/>
            <w:vAlign w:val="bottom"/>
          </w:tcPr>
          <w:p>
            <w:pPr>
              <w:ind w:left="160"/>
              <w:spacing w:after="0" w:line="189" w:lineRule="exact"/>
              <w:rPr>
                <w:sz w:val="20"/>
                <w:szCs w:val="20"/>
                <w:color w:val="auto"/>
              </w:rPr>
            </w:pPr>
            <w:r>
              <w:rPr>
                <w:rFonts w:ascii="Arial" w:cs="Arial" w:eastAsia="Arial" w:hAnsi="Arial"/>
                <w:sz w:val="18"/>
                <w:szCs w:val="18"/>
                <w:color w:val="auto"/>
              </w:rPr>
              <w:t>Diluted</w:t>
            </w:r>
          </w:p>
        </w:tc>
        <w:tc>
          <w:tcPr>
            <w:tcW w:w="2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160"/>
              <w:spacing w:after="0" w:line="189" w:lineRule="exact"/>
              <w:rPr>
                <w:sz w:val="20"/>
                <w:szCs w:val="20"/>
                <w:color w:val="auto"/>
              </w:rPr>
            </w:pPr>
            <w:r>
              <w:rPr>
                <w:rFonts w:ascii="Arial" w:cs="Arial" w:eastAsia="Arial" w:hAnsi="Arial"/>
                <w:sz w:val="18"/>
                <w:szCs w:val="18"/>
                <w:color w:val="auto"/>
              </w:rPr>
              <w:t>0.19</w:t>
            </w:r>
          </w:p>
        </w:tc>
        <w:tc>
          <w:tcPr>
            <w:tcW w:w="3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Weighted average shares outstanding</w:t>
            </w:r>
            <w:r>
              <w:rPr>
                <w:rFonts w:ascii="Arial" w:cs="Arial" w:eastAsia="Arial" w:hAnsi="Arial"/>
                <w:sz w:val="18"/>
                <w:szCs w:val="18"/>
                <w:color w:val="auto"/>
                <w:vertAlign w:val="superscript"/>
              </w:rPr>
              <w:t>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160"/>
              <w:spacing w:after="0" w:line="202" w:lineRule="exact"/>
              <w:rPr>
                <w:sz w:val="20"/>
                <w:szCs w:val="20"/>
                <w:color w:val="auto"/>
              </w:rPr>
            </w:pPr>
            <w:r>
              <w:rPr>
                <w:rFonts w:ascii="Arial" w:cs="Arial" w:eastAsia="Arial" w:hAnsi="Arial"/>
                <w:sz w:val="18"/>
                <w:szCs w:val="18"/>
                <w:color w:val="auto"/>
              </w:rPr>
              <w:t>Basic</w:t>
            </w:r>
          </w:p>
        </w:tc>
        <w:tc>
          <w:tcPr>
            <w:tcW w:w="240" w:type="dxa"/>
            <w:vAlign w:val="bottom"/>
          </w:tcPr>
          <w:p>
            <w:pPr>
              <w:spacing w:after="0"/>
              <w:rPr>
                <w:sz w:val="17"/>
                <w:szCs w:val="17"/>
                <w:color w:val="auto"/>
              </w:rPr>
            </w:pPr>
          </w:p>
        </w:tc>
        <w:tc>
          <w:tcPr>
            <w:tcW w:w="15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222,222,197</w:t>
            </w:r>
          </w:p>
        </w:tc>
        <w:tc>
          <w:tcPr>
            <w:tcW w:w="320" w:type="dxa"/>
            <w:vAlign w:val="bottom"/>
          </w:tcPr>
          <w:p>
            <w:pPr>
              <w:spacing w:after="0"/>
              <w:rPr>
                <w:sz w:val="17"/>
                <w:szCs w:val="17"/>
                <w:color w:val="auto"/>
              </w:rPr>
            </w:pPr>
          </w:p>
        </w:tc>
        <w:tc>
          <w:tcPr>
            <w:tcW w:w="1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213,435,321</w:t>
            </w:r>
          </w:p>
        </w:tc>
        <w:tc>
          <w:tcPr>
            <w:tcW w:w="0" w:type="dxa"/>
            <w:vAlign w:val="bottom"/>
          </w:tcPr>
          <w:p>
            <w:pPr>
              <w:spacing w:after="0"/>
              <w:rPr>
                <w:sz w:val="1"/>
                <w:szCs w:val="1"/>
                <w:color w:val="auto"/>
              </w:rPr>
            </w:pPr>
          </w:p>
        </w:tc>
      </w:tr>
      <w:tr>
        <w:trPr>
          <w:trHeight w:val="203"/>
        </w:trPr>
        <w:tc>
          <w:tcPr>
            <w:tcW w:w="7940" w:type="dxa"/>
            <w:vAlign w:val="bottom"/>
          </w:tcPr>
          <w:p>
            <w:pPr>
              <w:ind w:left="160"/>
              <w:spacing w:after="0" w:line="203" w:lineRule="exact"/>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7"/>
                <w:szCs w:val="17"/>
                <w:color w:val="auto"/>
              </w:rPr>
            </w:pPr>
          </w:p>
        </w:tc>
        <w:tc>
          <w:tcPr>
            <w:tcW w:w="1520" w:type="dxa"/>
            <w:vAlign w:val="bottom"/>
            <w:gridSpan w:val="3"/>
          </w:tcPr>
          <w:p>
            <w:pPr>
              <w:jc w:val="right"/>
              <w:ind w:right="160"/>
              <w:spacing w:after="0" w:line="203" w:lineRule="exact"/>
              <w:rPr>
                <w:sz w:val="20"/>
                <w:szCs w:val="20"/>
                <w:color w:val="auto"/>
              </w:rPr>
            </w:pPr>
            <w:r>
              <w:rPr>
                <w:rFonts w:ascii="Arial" w:cs="Arial" w:eastAsia="Arial" w:hAnsi="Arial"/>
                <w:sz w:val="18"/>
                <w:szCs w:val="18"/>
                <w:color w:val="auto"/>
              </w:rPr>
              <w:t>222,320,457</w:t>
            </w:r>
          </w:p>
        </w:tc>
        <w:tc>
          <w:tcPr>
            <w:tcW w:w="320" w:type="dxa"/>
            <w:vAlign w:val="bottom"/>
          </w:tcPr>
          <w:p>
            <w:pPr>
              <w:spacing w:after="0"/>
              <w:rPr>
                <w:sz w:val="17"/>
                <w:szCs w:val="17"/>
                <w:color w:val="auto"/>
              </w:rPr>
            </w:pPr>
          </w:p>
        </w:tc>
        <w:tc>
          <w:tcPr>
            <w:tcW w:w="14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213,435,321</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right="60" w:firstLine="8"/>
        <w:spacing w:after="0" w:line="247" w:lineRule="auto"/>
        <w:tabs>
          <w:tab w:leader="none" w:pos="160" w:val="left"/>
        </w:tabs>
        <w:numPr>
          <w:ilvl w:val="0"/>
          <w:numId w:val="7"/>
        </w:numPr>
        <w:rPr>
          <w:rFonts w:ascii="Arial" w:cs="Arial" w:eastAsia="Arial" w:hAnsi="Arial"/>
          <w:sz w:val="14"/>
          <w:szCs w:val="14"/>
          <w:color w:val="auto"/>
        </w:rPr>
      </w:pPr>
      <w:r>
        <w:rPr>
          <w:rFonts w:ascii="Arial" w:cs="Arial" w:eastAsia="Arial" w:hAnsi="Arial"/>
          <w:sz w:val="14"/>
          <w:szCs w:val="14"/>
          <w:color w:val="auto"/>
        </w:rPr>
        <w:t>Net income per share and weighted average shares outstanding have been computed to give effect to the reorganization transactions that occurred in connection with the IPO, including the amendment and restatement of the fourth amended and restated limited liability company agreement of Tradeweb Markets LLC to, among other things, (i) provide for a new single class of common membership interests in Tradeweb Markets LLC (“LLC Interests”) and (ii) exchange all of the original members’ existing membership interests for LLC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191770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00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6254750</wp:posOffset>
            </wp:positionH>
            <wp:positionV relativeFrom="page">
              <wp:posOffset>217805</wp:posOffset>
            </wp:positionV>
            <wp:extent cx="1149350" cy="3429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42900"/>
                    </a:xfrm>
                    <a:prstGeom prst="rect">
                      <a:avLst/>
                    </a:prstGeom>
                    <a:noFill/>
                  </pic:spPr>
                </pic:pic>
              </a:graphicData>
            </a:graphic>
          </wp:anchor>
        </w:drawing>
        <w:t>TRADEWEB MARKETS LLC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 (UNAUDITED)</w:t>
      </w:r>
    </w:p>
    <w:p>
      <w:pPr>
        <w:spacing w:after="0"/>
        <w:rPr>
          <w:sz w:val="20"/>
          <w:szCs w:val="20"/>
          <w:color w:val="auto"/>
        </w:rPr>
      </w:pPr>
      <w:r>
        <w:rPr>
          <w:rFonts w:ascii="Arial" w:cs="Arial" w:eastAsia="Arial" w:hAnsi="Arial"/>
          <w:sz w:val="18"/>
          <w:szCs w:val="18"/>
          <w:b w:val="1"/>
          <w:bCs w:val="1"/>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6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4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189"/>
        </w:trPr>
        <w:tc>
          <w:tcPr>
            <w:tcW w:w="6620" w:type="dxa"/>
            <w:vAlign w:val="bottom"/>
          </w:tcPr>
          <w:p>
            <w:pPr>
              <w:ind w:left="120"/>
              <w:spacing w:after="0" w:line="189" w:lineRule="exact"/>
              <w:rPr>
                <w:sz w:val="20"/>
                <w:szCs w:val="20"/>
                <w:color w:val="auto"/>
              </w:rPr>
            </w:pPr>
            <w:r>
              <w:rPr>
                <w:rFonts w:ascii="Arial" w:cs="Arial" w:eastAsia="Arial" w:hAnsi="Arial"/>
                <w:sz w:val="18"/>
                <w:szCs w:val="18"/>
                <w:b w:val="1"/>
                <w:bCs w:val="1"/>
                <w:color w:val="auto"/>
              </w:rPr>
              <w:t>Reconciliation of Net Income to Adjusted EBITDA and Adjusted</w:t>
            </w: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rPr>
              <w:t>Successor</w:t>
            </w:r>
          </w:p>
        </w:tc>
        <w:tc>
          <w:tcPr>
            <w:tcW w:w="56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1560" w:type="dxa"/>
            <w:vAlign w:val="bottom"/>
            <w:gridSpan w:val="3"/>
          </w:tcPr>
          <w:p>
            <w:pPr>
              <w:jc w:val="right"/>
              <w:ind w:right="440"/>
              <w:spacing w:after="0" w:line="189" w:lineRule="exact"/>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EBITDA Margin</w:t>
            </w: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2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660" w:type="dxa"/>
            <w:vAlign w:val="bottom"/>
            <w:tcBorders>
              <w:bottom w:val="single" w:sz="8" w:color="auto"/>
              <w:right w:val="single" w:sz="8" w:color="auto"/>
            </w:tcBorders>
            <w:gridSpan w:val="3"/>
          </w:tcPr>
          <w:p>
            <w:pPr>
              <w:jc w:val="center"/>
              <w:ind w:right="380"/>
              <w:spacing w:after="0"/>
              <w:rPr>
                <w:sz w:val="20"/>
                <w:szCs w:val="20"/>
                <w:color w:val="auto"/>
              </w:rPr>
            </w:pPr>
            <w:r>
              <w:rPr>
                <w:rFonts w:ascii="Arial" w:cs="Arial" w:eastAsia="Arial" w:hAnsi="Arial"/>
                <w:sz w:val="18"/>
                <w:szCs w:val="18"/>
                <w:b w:val="1"/>
                <w:bCs w:val="1"/>
                <w:color w:val="auto"/>
                <w:w w:val="99"/>
              </w:rPr>
              <w:t>March 31, 2019</w:t>
            </w:r>
          </w:p>
        </w:tc>
        <w:tc>
          <w:tcPr>
            <w:tcW w:w="196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8"/>
                <w:szCs w:val="18"/>
                <w:b w:val="1"/>
                <w:bCs w:val="1"/>
                <w:color w:val="auto"/>
              </w:rPr>
              <w:t>March 31, 2018</w:t>
            </w:r>
          </w:p>
        </w:tc>
        <w:tc>
          <w:tcPr>
            <w:tcW w:w="0" w:type="dxa"/>
            <w:vAlign w:val="bottom"/>
          </w:tcPr>
          <w:p>
            <w:pPr>
              <w:spacing w:after="0"/>
              <w:rPr>
                <w:sz w:val="1"/>
                <w:szCs w:val="1"/>
                <w:color w:val="auto"/>
              </w:rPr>
            </w:pPr>
          </w:p>
        </w:tc>
      </w:tr>
      <w:tr>
        <w:trPr>
          <w:trHeight w:val="210"/>
        </w:trPr>
        <w:tc>
          <w:tcPr>
            <w:tcW w:w="66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Net income</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60" w:type="dxa"/>
            <w:vAlign w:val="bottom"/>
            <w:tcBorders>
              <w:bottom w:val="single" w:sz="8" w:color="auto"/>
              <w:right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42,352</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45,308</w:t>
            </w:r>
          </w:p>
        </w:tc>
        <w:tc>
          <w:tcPr>
            <w:tcW w:w="0" w:type="dxa"/>
            <w:vAlign w:val="bottom"/>
          </w:tcPr>
          <w:p>
            <w:pPr>
              <w:spacing w:after="0"/>
              <w:rPr>
                <w:sz w:val="1"/>
                <w:szCs w:val="1"/>
                <w:color w:val="auto"/>
              </w:rPr>
            </w:pPr>
          </w:p>
        </w:tc>
      </w:tr>
      <w:tr>
        <w:trPr>
          <w:trHeight w:val="222"/>
        </w:trPr>
        <w:tc>
          <w:tcPr>
            <w:tcW w:w="6620" w:type="dxa"/>
            <w:vAlign w:val="bottom"/>
          </w:tcPr>
          <w:p>
            <w:pPr>
              <w:ind w:left="120"/>
              <w:spacing w:after="0"/>
              <w:rPr>
                <w:sz w:val="20"/>
                <w:szCs w:val="20"/>
                <w:color w:val="auto"/>
              </w:rPr>
            </w:pPr>
            <w:r>
              <w:rPr>
                <w:rFonts w:ascii="Arial" w:cs="Arial" w:eastAsia="Arial" w:hAnsi="Arial"/>
                <w:sz w:val="18"/>
                <w:szCs w:val="18"/>
                <w:color w:val="auto"/>
              </w:rPr>
              <w:t>Contingent consideration</w:t>
            </w:r>
          </w:p>
        </w:tc>
        <w:tc>
          <w:tcPr>
            <w:tcW w:w="1180" w:type="dxa"/>
            <w:vAlign w:val="bottom"/>
          </w:tcPr>
          <w:p>
            <w:pPr>
              <w:spacing w:after="0"/>
              <w:rPr>
                <w:sz w:val="19"/>
                <w:szCs w:val="19"/>
                <w:color w:val="auto"/>
              </w:rPr>
            </w:pPr>
          </w:p>
        </w:tc>
        <w:tc>
          <w:tcPr>
            <w:tcW w:w="1660" w:type="dxa"/>
            <w:vAlign w:val="bottom"/>
            <w:tcBorders>
              <w:right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560" w:type="dxa"/>
            <w:vAlign w:val="bottom"/>
            <w:gridSpan w:val="3"/>
          </w:tcPr>
          <w:p>
            <w:pPr>
              <w:jc w:val="right"/>
              <w:ind w:right="140"/>
              <w:spacing w:after="0"/>
              <w:rPr>
                <w:sz w:val="20"/>
                <w:szCs w:val="20"/>
                <w:color w:val="auto"/>
              </w:rPr>
            </w:pPr>
            <w:r>
              <w:rPr>
                <w:rFonts w:ascii="Arial" w:cs="Arial" w:eastAsia="Arial" w:hAnsi="Arial"/>
                <w:sz w:val="18"/>
                <w:szCs w:val="18"/>
                <w:color w:val="auto"/>
              </w:rPr>
              <w:t>10,070</w:t>
            </w: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Arial" w:cs="Arial" w:eastAsia="Arial" w:hAnsi="Arial"/>
                <w:sz w:val="18"/>
                <w:szCs w:val="18"/>
                <w:color w:val="auto"/>
              </w:rPr>
              <w:t>Interest income, net</w:t>
            </w:r>
          </w:p>
        </w:tc>
        <w:tc>
          <w:tcPr>
            <w:tcW w:w="1180" w:type="dxa"/>
            <w:vAlign w:val="bottom"/>
          </w:tcPr>
          <w:p>
            <w:pPr>
              <w:spacing w:after="0"/>
              <w:rPr>
                <w:sz w:val="18"/>
                <w:szCs w:val="18"/>
                <w:color w:val="auto"/>
              </w:rPr>
            </w:pPr>
          </w:p>
        </w:tc>
        <w:tc>
          <w:tcPr>
            <w:tcW w:w="1660" w:type="dxa"/>
            <w:vAlign w:val="bottom"/>
            <w:tcBorders>
              <w:right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(858)</w:t>
            </w:r>
          </w:p>
        </w:tc>
        <w:tc>
          <w:tcPr>
            <w:tcW w:w="400" w:type="dxa"/>
            <w:vAlign w:val="bottom"/>
          </w:tcPr>
          <w:p>
            <w:pPr>
              <w:spacing w:after="0"/>
              <w:rPr>
                <w:sz w:val="18"/>
                <w:szCs w:val="18"/>
                <w:color w:val="auto"/>
              </w:rPr>
            </w:pPr>
          </w:p>
        </w:tc>
        <w:tc>
          <w:tcPr>
            <w:tcW w:w="1560" w:type="dxa"/>
            <w:vAlign w:val="bottom"/>
            <w:gridSpan w:val="3"/>
          </w:tcPr>
          <w:p>
            <w:pPr>
              <w:jc w:val="right"/>
              <w:ind w:right="14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1180" w:type="dxa"/>
            <w:vAlign w:val="bottom"/>
          </w:tcPr>
          <w:p>
            <w:pPr>
              <w:spacing w:after="0"/>
              <w:rPr>
                <w:sz w:val="18"/>
                <w:szCs w:val="18"/>
                <w:color w:val="auto"/>
              </w:rPr>
            </w:pPr>
          </w:p>
        </w:tc>
        <w:tc>
          <w:tcPr>
            <w:tcW w:w="1660" w:type="dxa"/>
            <w:vAlign w:val="bottom"/>
            <w:tcBorders>
              <w:right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33,503</w:t>
            </w:r>
          </w:p>
        </w:tc>
        <w:tc>
          <w:tcPr>
            <w:tcW w:w="400" w:type="dxa"/>
            <w:vAlign w:val="bottom"/>
          </w:tcPr>
          <w:p>
            <w:pPr>
              <w:spacing w:after="0"/>
              <w:rPr>
                <w:sz w:val="18"/>
                <w:szCs w:val="18"/>
                <w:color w:val="auto"/>
              </w:rPr>
            </w:pPr>
          </w:p>
        </w:tc>
        <w:tc>
          <w:tcPr>
            <w:tcW w:w="1560" w:type="dxa"/>
            <w:vAlign w:val="bottom"/>
            <w:gridSpan w:val="3"/>
          </w:tcPr>
          <w:p>
            <w:pPr>
              <w:jc w:val="right"/>
              <w:ind w:right="140"/>
              <w:spacing w:after="0"/>
              <w:rPr>
                <w:sz w:val="20"/>
                <w:szCs w:val="20"/>
                <w:color w:val="auto"/>
              </w:rPr>
            </w:pPr>
            <w:r>
              <w:rPr>
                <w:rFonts w:ascii="Arial" w:cs="Arial" w:eastAsia="Arial" w:hAnsi="Arial"/>
                <w:sz w:val="18"/>
                <w:szCs w:val="18"/>
                <w:color w:val="auto"/>
              </w:rPr>
              <w:t>16,268</w:t>
            </w: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Arial" w:cs="Arial" w:eastAsia="Arial" w:hAnsi="Arial"/>
                <w:sz w:val="18"/>
                <w:szCs w:val="18"/>
                <w:color w:val="auto"/>
              </w:rPr>
              <w:t>Provision for income taxes</w:t>
            </w:r>
          </w:p>
        </w:tc>
        <w:tc>
          <w:tcPr>
            <w:tcW w:w="1180" w:type="dxa"/>
            <w:vAlign w:val="bottom"/>
          </w:tcPr>
          <w:p>
            <w:pPr>
              <w:spacing w:after="0"/>
              <w:rPr>
                <w:sz w:val="18"/>
                <w:szCs w:val="18"/>
                <w:color w:val="auto"/>
              </w:rPr>
            </w:pPr>
          </w:p>
        </w:tc>
        <w:tc>
          <w:tcPr>
            <w:tcW w:w="1660" w:type="dxa"/>
            <w:vAlign w:val="bottom"/>
            <w:tcBorders>
              <w:right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4,783</w:t>
            </w:r>
          </w:p>
        </w:tc>
        <w:tc>
          <w:tcPr>
            <w:tcW w:w="400" w:type="dxa"/>
            <w:vAlign w:val="bottom"/>
          </w:tcPr>
          <w:p>
            <w:pPr>
              <w:spacing w:after="0"/>
              <w:rPr>
                <w:sz w:val="18"/>
                <w:szCs w:val="18"/>
                <w:color w:val="auto"/>
              </w:rPr>
            </w:pPr>
          </w:p>
        </w:tc>
        <w:tc>
          <w:tcPr>
            <w:tcW w:w="1560" w:type="dxa"/>
            <w:vAlign w:val="bottom"/>
            <w:gridSpan w:val="3"/>
          </w:tcPr>
          <w:p>
            <w:pPr>
              <w:jc w:val="right"/>
              <w:ind w:right="140"/>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Arial" w:cs="Arial" w:eastAsia="Arial" w:hAnsi="Arial"/>
                <w:sz w:val="18"/>
                <w:szCs w:val="18"/>
                <w:color w:val="auto"/>
              </w:rPr>
              <w:t>Unrealized foreign exchange (gains) / losses</w:t>
            </w:r>
          </w:p>
        </w:tc>
        <w:tc>
          <w:tcPr>
            <w:tcW w:w="1180" w:type="dxa"/>
            <w:vAlign w:val="bottom"/>
          </w:tcPr>
          <w:p>
            <w:pPr>
              <w:spacing w:after="0"/>
              <w:rPr>
                <w:sz w:val="18"/>
                <w:szCs w:val="18"/>
                <w:color w:val="auto"/>
              </w:rPr>
            </w:pPr>
          </w:p>
        </w:tc>
        <w:tc>
          <w:tcPr>
            <w:tcW w:w="1660" w:type="dxa"/>
            <w:vAlign w:val="bottom"/>
            <w:tcBorders>
              <w:right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(293)</w:t>
            </w:r>
          </w:p>
        </w:tc>
        <w:tc>
          <w:tcPr>
            <w:tcW w:w="400" w:type="dxa"/>
            <w:vAlign w:val="bottom"/>
          </w:tcPr>
          <w:p>
            <w:pPr>
              <w:spacing w:after="0"/>
              <w:rPr>
                <w:sz w:val="18"/>
                <w:szCs w:val="18"/>
                <w:color w:val="auto"/>
              </w:rPr>
            </w:pPr>
          </w:p>
        </w:tc>
        <w:tc>
          <w:tcPr>
            <w:tcW w:w="1560" w:type="dxa"/>
            <w:vAlign w:val="bottom"/>
            <w:gridSpan w:val="3"/>
          </w:tcPr>
          <w:p>
            <w:pPr>
              <w:jc w:val="right"/>
              <w:ind w:right="14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03"/>
        </w:trPr>
        <w:tc>
          <w:tcPr>
            <w:tcW w:w="6620" w:type="dxa"/>
            <w:vAlign w:val="bottom"/>
            <w:tcBorders>
              <w:bottom w:val="single" w:sz="8" w:color="auto"/>
            </w:tcBorders>
          </w:tcPr>
          <w:p>
            <w:pPr>
              <w:ind w:left="120"/>
              <w:spacing w:after="0" w:line="203" w:lineRule="exact"/>
              <w:rPr>
                <w:sz w:val="20"/>
                <w:szCs w:val="20"/>
                <w:color w:val="auto"/>
              </w:rPr>
            </w:pPr>
            <w:r>
              <w:rPr>
                <w:rFonts w:ascii="Arial" w:cs="Arial" w:eastAsia="Arial" w:hAnsi="Arial"/>
                <w:sz w:val="18"/>
                <w:szCs w:val="18"/>
                <w:color w:val="auto"/>
              </w:rPr>
              <w:t>(Gain) / loss from revaluation of foreign-denominated cash</w:t>
            </w:r>
            <w:r>
              <w:rPr>
                <w:rFonts w:ascii="Arial" w:cs="Arial" w:eastAsia="Arial" w:hAnsi="Arial"/>
                <w:sz w:val="8"/>
                <w:szCs w:val="8"/>
                <w:color w:val="auto"/>
              </w:rPr>
              <w:t>1</w:t>
            </w:r>
          </w:p>
        </w:tc>
        <w:tc>
          <w:tcPr>
            <w:tcW w:w="1180" w:type="dxa"/>
            <w:vAlign w:val="bottom"/>
            <w:tcBorders>
              <w:bottom w:val="single" w:sz="8" w:color="auto"/>
            </w:tcBorders>
          </w:tcPr>
          <w:p>
            <w:pPr>
              <w:spacing w:after="0"/>
              <w:rPr>
                <w:sz w:val="17"/>
                <w:szCs w:val="17"/>
                <w:color w:val="auto"/>
              </w:rPr>
            </w:pPr>
          </w:p>
        </w:tc>
        <w:tc>
          <w:tcPr>
            <w:tcW w:w="1660" w:type="dxa"/>
            <w:vAlign w:val="bottom"/>
            <w:tcBorders>
              <w:bottom w:val="single" w:sz="8" w:color="auto"/>
              <w:right w:val="single" w:sz="8" w:color="auto"/>
            </w:tcBorders>
            <w:gridSpan w:val="3"/>
          </w:tcPr>
          <w:p>
            <w:pPr>
              <w:jc w:val="right"/>
              <w:ind w:right="160"/>
              <w:spacing w:after="0" w:line="203" w:lineRule="exact"/>
              <w:rPr>
                <w:sz w:val="20"/>
                <w:szCs w:val="20"/>
                <w:color w:val="auto"/>
              </w:rPr>
            </w:pPr>
            <w:r>
              <w:rPr>
                <w:rFonts w:ascii="Arial" w:cs="Arial" w:eastAsia="Arial" w:hAnsi="Arial"/>
                <w:sz w:val="18"/>
                <w:szCs w:val="18"/>
                <w:color w:val="auto"/>
              </w:rPr>
              <w:t>860</w:t>
            </w:r>
          </w:p>
        </w:tc>
        <w:tc>
          <w:tcPr>
            <w:tcW w:w="4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140"/>
              <w:spacing w:after="0" w:line="203"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0"/>
        </w:trPr>
        <w:tc>
          <w:tcPr>
            <w:tcW w:w="66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Adjusted EBITDA</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60" w:type="dxa"/>
            <w:vAlign w:val="bottom"/>
            <w:tcBorders>
              <w:bottom w:val="single" w:sz="8" w:color="auto"/>
              <w:right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80,347</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72,681</w:t>
            </w:r>
          </w:p>
        </w:tc>
        <w:tc>
          <w:tcPr>
            <w:tcW w:w="0" w:type="dxa"/>
            <w:vAlign w:val="bottom"/>
          </w:tcPr>
          <w:p>
            <w:pPr>
              <w:spacing w:after="0"/>
              <w:rPr>
                <w:sz w:val="1"/>
                <w:szCs w:val="1"/>
                <w:color w:val="auto"/>
              </w:rPr>
            </w:pPr>
          </w:p>
        </w:tc>
      </w:tr>
      <w:tr>
        <w:trPr>
          <w:trHeight w:val="210"/>
        </w:trPr>
        <w:tc>
          <w:tcPr>
            <w:tcW w:w="66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Adjusted EBITDA margin</w:t>
            </w:r>
            <w:r>
              <w:rPr>
                <w:rFonts w:ascii="Arial" w:cs="Arial" w:eastAsia="Arial" w:hAnsi="Arial"/>
                <w:sz w:val="8"/>
                <w:szCs w:val="8"/>
                <w:b w:val="1"/>
                <w:bCs w:val="1"/>
                <w:color w:val="auto"/>
              </w:rPr>
              <w:t>2</w:t>
            </w:r>
          </w:p>
        </w:tc>
        <w:tc>
          <w:tcPr>
            <w:tcW w:w="1180" w:type="dxa"/>
            <w:vAlign w:val="bottom"/>
            <w:tcBorders>
              <w:bottom w:val="single" w:sz="8" w:color="auto"/>
            </w:tcBorders>
          </w:tcPr>
          <w:p>
            <w:pPr>
              <w:spacing w:after="0"/>
              <w:rPr>
                <w:sz w:val="18"/>
                <w:szCs w:val="18"/>
                <w:color w:val="auto"/>
              </w:rPr>
            </w:pPr>
          </w:p>
        </w:tc>
        <w:tc>
          <w:tcPr>
            <w:tcW w:w="1660" w:type="dxa"/>
            <w:vAlign w:val="bottom"/>
            <w:tcBorders>
              <w:bottom w:val="single" w:sz="8" w:color="auto"/>
              <w:right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43.0%</w:t>
            </w:r>
          </w:p>
        </w:tc>
        <w:tc>
          <w:tcPr>
            <w:tcW w:w="4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42.9%</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200" w:hanging="89"/>
        <w:spacing w:after="0"/>
        <w:tabs>
          <w:tab w:leader="none" w:pos="200" w:val="left"/>
        </w:tabs>
        <w:numPr>
          <w:ilvl w:val="0"/>
          <w:numId w:val="8"/>
        </w:numPr>
        <w:rPr>
          <w:rFonts w:ascii="Arial" w:cs="Arial" w:eastAsia="Arial" w:hAnsi="Arial"/>
          <w:sz w:val="14"/>
          <w:szCs w:val="14"/>
          <w:color w:val="auto"/>
          <w:vertAlign w:val="superscript"/>
        </w:rPr>
      </w:pPr>
      <w:r>
        <w:rPr>
          <w:rFonts w:ascii="Arial" w:cs="Arial" w:eastAsia="Arial" w:hAnsi="Arial"/>
          <w:sz w:val="14"/>
          <w:szCs w:val="14"/>
          <w:color w:val="auto"/>
        </w:rPr>
        <w:t>Represents foreign exchange gain or loss from the revaluation of cash denominated in a different currency than the entity’s functional currency.</w:t>
      </w:r>
    </w:p>
    <w:p>
      <w:pPr>
        <w:spacing w:after="0" w:line="79" w:lineRule="exact"/>
        <w:rPr>
          <w:rFonts w:ascii="Arial" w:cs="Arial" w:eastAsia="Arial" w:hAnsi="Arial"/>
          <w:sz w:val="14"/>
          <w:szCs w:val="14"/>
          <w:color w:val="auto"/>
          <w:vertAlign w:val="superscript"/>
        </w:rPr>
      </w:pPr>
    </w:p>
    <w:p>
      <w:pPr>
        <w:ind w:left="120"/>
        <w:spacing w:after="0"/>
        <w:rPr>
          <w:rFonts w:ascii="Arial" w:cs="Arial" w:eastAsia="Arial" w:hAnsi="Arial"/>
          <w:sz w:val="14"/>
          <w:szCs w:val="14"/>
          <w:color w:val="auto"/>
          <w:vertAlign w:val="superscript"/>
        </w:rPr>
      </w:pPr>
      <w:r>
        <w:rPr>
          <w:rFonts w:ascii="Arial" w:cs="Arial" w:eastAsia="Arial" w:hAnsi="Arial"/>
          <w:sz w:val="14"/>
          <w:szCs w:val="14"/>
          <w:color w:val="auto"/>
          <w:vertAlign w:val="superscript"/>
        </w:rPr>
        <w:t>2</w:t>
      </w:r>
      <w:r>
        <w:rPr>
          <w:rFonts w:ascii="Arial" w:cs="Arial" w:eastAsia="Arial" w:hAnsi="Arial"/>
          <w:sz w:val="14"/>
          <w:szCs w:val="14"/>
          <w:color w:val="auto"/>
        </w:rPr>
        <w:t xml:space="preserve"> Adjusted EBITDA margin is defined as Adjusted EBITDA divided by gross revenue for the applicable period.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2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189"/>
        </w:trPr>
        <w:tc>
          <w:tcPr>
            <w:tcW w:w="7580" w:type="dxa"/>
            <w:vAlign w:val="bottom"/>
          </w:tcPr>
          <w:p>
            <w:pPr>
              <w:ind w:left="120"/>
              <w:spacing w:after="0" w:line="189" w:lineRule="exact"/>
              <w:rPr>
                <w:sz w:val="20"/>
                <w:szCs w:val="20"/>
                <w:color w:val="auto"/>
              </w:rPr>
            </w:pPr>
            <w:r>
              <w:rPr>
                <w:rFonts w:ascii="Arial" w:cs="Arial" w:eastAsia="Arial" w:hAnsi="Arial"/>
                <w:sz w:val="18"/>
                <w:szCs w:val="18"/>
                <w:b w:val="1"/>
                <w:bCs w:val="1"/>
                <w:color w:val="auto"/>
              </w:rPr>
              <w:t>Reconciliation of Net Income to Adjusted Net Income and</w:t>
            </w:r>
          </w:p>
        </w:tc>
        <w:tc>
          <w:tcPr>
            <w:tcW w:w="340" w:type="dxa"/>
            <w:vAlign w:val="bottom"/>
          </w:tcPr>
          <w:p>
            <w:pPr>
              <w:spacing w:after="0"/>
              <w:rPr>
                <w:sz w:val="16"/>
                <w:szCs w:val="16"/>
                <w:color w:val="auto"/>
              </w:rPr>
            </w:pPr>
          </w:p>
        </w:tc>
        <w:tc>
          <w:tcPr>
            <w:tcW w:w="1540" w:type="dxa"/>
            <w:vAlign w:val="bottom"/>
            <w:tcBorders>
              <w:right w:val="single" w:sz="8" w:color="auto"/>
            </w:tcBorders>
            <w:gridSpan w:val="3"/>
          </w:tcPr>
          <w:p>
            <w:pPr>
              <w:jc w:val="right"/>
              <w:ind w:right="560"/>
              <w:spacing w:after="0" w:line="189" w:lineRule="exact"/>
              <w:rPr>
                <w:sz w:val="20"/>
                <w:szCs w:val="20"/>
                <w:color w:val="auto"/>
              </w:rPr>
            </w:pPr>
            <w:r>
              <w:rPr>
                <w:rFonts w:ascii="Arial" w:cs="Arial" w:eastAsia="Arial" w:hAnsi="Arial"/>
                <w:sz w:val="18"/>
                <w:szCs w:val="18"/>
                <w:b w:val="1"/>
                <w:bCs w:val="1"/>
                <w:color w:val="auto"/>
              </w:rPr>
              <w:t>Successor</w:t>
            </w:r>
          </w:p>
        </w:tc>
        <w:tc>
          <w:tcPr>
            <w:tcW w:w="420" w:type="dxa"/>
            <w:vAlign w:val="bottom"/>
          </w:tcPr>
          <w:p>
            <w:pPr>
              <w:spacing w:after="0"/>
              <w:rPr>
                <w:sz w:val="16"/>
                <w:szCs w:val="16"/>
                <w:color w:val="auto"/>
              </w:rPr>
            </w:pPr>
          </w:p>
        </w:tc>
        <w:tc>
          <w:tcPr>
            <w:tcW w:w="1540" w:type="dxa"/>
            <w:vAlign w:val="bottom"/>
            <w:gridSpan w:val="3"/>
          </w:tcPr>
          <w:p>
            <w:pPr>
              <w:jc w:val="right"/>
              <w:ind w:right="440"/>
              <w:spacing w:after="0" w:line="189" w:lineRule="exact"/>
              <w:rPr>
                <w:sz w:val="20"/>
                <w:szCs w:val="20"/>
                <w:color w:val="auto"/>
              </w:rPr>
            </w:pPr>
            <w:r>
              <w:rPr>
                <w:rFonts w:ascii="Arial" w:cs="Arial" w:eastAsia="Arial" w:hAnsi="Arial"/>
                <w:sz w:val="18"/>
                <w:szCs w:val="18"/>
                <w:b w:val="1"/>
                <w:bCs w:val="1"/>
                <w:color w:val="auto"/>
                <w:w w:val="99"/>
              </w:rPr>
              <w:t>Predecessor</w:t>
            </w:r>
          </w:p>
        </w:tc>
        <w:tc>
          <w:tcPr>
            <w:tcW w:w="0" w:type="dxa"/>
            <w:vAlign w:val="bottom"/>
          </w:tcPr>
          <w:p>
            <w:pPr>
              <w:spacing w:after="0"/>
              <w:rPr>
                <w:sz w:val="1"/>
                <w:szCs w:val="1"/>
                <w:color w:val="auto"/>
              </w:rPr>
            </w:pPr>
          </w:p>
        </w:tc>
      </w:tr>
      <w:tr>
        <w:trPr>
          <w:trHeight w:val="20"/>
        </w:trPr>
        <w:tc>
          <w:tcPr>
            <w:tcW w:w="75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Adjusted Diluted EPS</w:t>
            </w:r>
          </w:p>
        </w:tc>
        <w:tc>
          <w:tcPr>
            <w:tcW w:w="420" w:type="dxa"/>
            <w:vAlign w:val="bottom"/>
            <w:gridSpan w:val="2"/>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80" w:type="dxa"/>
            <w:vAlign w:val="bottom"/>
            <w:tcBorders>
              <w:bottom w:val="single" w:sz="8" w:color="auto"/>
            </w:tcBorders>
            <w:vMerge w:val="continue"/>
          </w:tcPr>
          <w:p>
            <w:pPr>
              <w:spacing w:after="0"/>
              <w:rPr>
                <w:sz w:val="19"/>
                <w:szCs w:val="19"/>
                <w:color w:val="auto"/>
              </w:rPr>
            </w:pPr>
          </w:p>
        </w:tc>
        <w:tc>
          <w:tcPr>
            <w:tcW w:w="1880" w:type="dxa"/>
            <w:vAlign w:val="bottom"/>
            <w:tcBorders>
              <w:bottom w:val="single" w:sz="8" w:color="auto"/>
              <w:right w:val="single" w:sz="8" w:color="auto"/>
            </w:tcBorders>
            <w:gridSpan w:val="4"/>
          </w:tcPr>
          <w:p>
            <w:pPr>
              <w:jc w:val="right"/>
              <w:ind w:right="380"/>
              <w:spacing w:after="0"/>
              <w:rPr>
                <w:sz w:val="20"/>
                <w:szCs w:val="20"/>
                <w:color w:val="auto"/>
              </w:rPr>
            </w:pPr>
            <w:r>
              <w:rPr>
                <w:rFonts w:ascii="Arial" w:cs="Arial" w:eastAsia="Arial" w:hAnsi="Arial"/>
                <w:sz w:val="18"/>
                <w:szCs w:val="18"/>
                <w:b w:val="1"/>
                <w:bCs w:val="1"/>
                <w:color w:val="auto"/>
              </w:rPr>
              <w:t>March 31, 2019</w:t>
            </w:r>
          </w:p>
        </w:tc>
        <w:tc>
          <w:tcPr>
            <w:tcW w:w="196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8"/>
                <w:szCs w:val="18"/>
                <w:b w:val="1"/>
                <w:bCs w:val="1"/>
                <w:color w:val="auto"/>
              </w:rPr>
              <w:t>March 31, 2018</w:t>
            </w:r>
          </w:p>
        </w:tc>
        <w:tc>
          <w:tcPr>
            <w:tcW w:w="0" w:type="dxa"/>
            <w:vAlign w:val="bottom"/>
          </w:tcPr>
          <w:p>
            <w:pPr>
              <w:spacing w:after="0"/>
              <w:rPr>
                <w:sz w:val="1"/>
                <w:szCs w:val="1"/>
                <w:color w:val="auto"/>
              </w:rPr>
            </w:pPr>
          </w:p>
        </w:tc>
      </w:tr>
      <w:tr>
        <w:trPr>
          <w:trHeight w:val="210"/>
        </w:trPr>
        <w:tc>
          <w:tcPr>
            <w:tcW w:w="75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540" w:type="dxa"/>
            <w:vAlign w:val="bottom"/>
            <w:tcBorders>
              <w:bottom w:val="single" w:sz="8" w:color="auto"/>
              <w:right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42,352</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45,308</w:t>
            </w:r>
          </w:p>
        </w:tc>
        <w:tc>
          <w:tcPr>
            <w:tcW w:w="0" w:type="dxa"/>
            <w:vAlign w:val="bottom"/>
          </w:tcPr>
          <w:p>
            <w:pPr>
              <w:spacing w:after="0"/>
              <w:rPr>
                <w:sz w:val="1"/>
                <w:szCs w:val="1"/>
                <w:color w:val="auto"/>
              </w:rPr>
            </w:pPr>
          </w:p>
        </w:tc>
      </w:tr>
      <w:tr>
        <w:trPr>
          <w:trHeight w:val="210"/>
        </w:trPr>
        <w:tc>
          <w:tcPr>
            <w:tcW w:w="75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Net income per diluted share</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540" w:type="dxa"/>
            <w:vAlign w:val="bottom"/>
            <w:tcBorders>
              <w:bottom w:val="single" w:sz="8" w:color="auto"/>
              <w:right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0.19</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0.21</w:t>
            </w:r>
          </w:p>
        </w:tc>
        <w:tc>
          <w:tcPr>
            <w:tcW w:w="0" w:type="dxa"/>
            <w:vAlign w:val="bottom"/>
          </w:tcPr>
          <w:p>
            <w:pPr>
              <w:spacing w:after="0"/>
              <w:rPr>
                <w:sz w:val="1"/>
                <w:szCs w:val="1"/>
                <w:color w:val="auto"/>
              </w:rPr>
            </w:pPr>
          </w:p>
        </w:tc>
      </w:tr>
      <w:tr>
        <w:trPr>
          <w:trHeight w:val="222"/>
        </w:trPr>
        <w:tc>
          <w:tcPr>
            <w:tcW w:w="7580" w:type="dxa"/>
            <w:vAlign w:val="bottom"/>
          </w:tcPr>
          <w:p>
            <w:pPr>
              <w:ind w:left="12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19"/>
                <w:szCs w:val="19"/>
                <w:color w:val="auto"/>
              </w:rPr>
            </w:pPr>
          </w:p>
        </w:tc>
        <w:tc>
          <w:tcPr>
            <w:tcW w:w="154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4,783</w:t>
            </w:r>
          </w:p>
        </w:tc>
        <w:tc>
          <w:tcPr>
            <w:tcW w:w="420" w:type="dxa"/>
            <w:vAlign w:val="bottom"/>
          </w:tcPr>
          <w:p>
            <w:pPr>
              <w:spacing w:after="0"/>
              <w:rPr>
                <w:sz w:val="19"/>
                <w:szCs w:val="19"/>
                <w:color w:val="auto"/>
              </w:rPr>
            </w:pPr>
          </w:p>
        </w:tc>
        <w:tc>
          <w:tcPr>
            <w:tcW w:w="1540" w:type="dxa"/>
            <w:vAlign w:val="bottom"/>
            <w:gridSpan w:val="3"/>
          </w:tcPr>
          <w:p>
            <w:pPr>
              <w:jc w:val="right"/>
              <w:ind w:right="140"/>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Arial" w:cs="Arial" w:eastAsia="Arial" w:hAnsi="Arial"/>
                <w:sz w:val="18"/>
                <w:szCs w:val="18"/>
                <w:color w:val="auto"/>
              </w:rPr>
              <w:t>Contingent consideration</w:t>
            </w:r>
          </w:p>
        </w:tc>
        <w:tc>
          <w:tcPr>
            <w:tcW w:w="340" w:type="dxa"/>
            <w:vAlign w:val="bottom"/>
          </w:tcPr>
          <w:p>
            <w:pPr>
              <w:spacing w:after="0"/>
              <w:rPr>
                <w:sz w:val="18"/>
                <w:szCs w:val="18"/>
                <w:color w:val="auto"/>
              </w:rPr>
            </w:pPr>
          </w:p>
        </w:tc>
        <w:tc>
          <w:tcPr>
            <w:tcW w:w="154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540" w:type="dxa"/>
            <w:vAlign w:val="bottom"/>
            <w:gridSpan w:val="3"/>
          </w:tcPr>
          <w:p>
            <w:pPr>
              <w:jc w:val="right"/>
              <w:ind w:right="140"/>
              <w:spacing w:after="0"/>
              <w:rPr>
                <w:sz w:val="20"/>
                <w:szCs w:val="20"/>
                <w:color w:val="auto"/>
              </w:rPr>
            </w:pPr>
            <w:r>
              <w:rPr>
                <w:rFonts w:ascii="Arial" w:cs="Arial" w:eastAsia="Arial" w:hAnsi="Arial"/>
                <w:sz w:val="18"/>
                <w:szCs w:val="18"/>
                <w:color w:val="auto"/>
              </w:rPr>
              <w:t>10,070</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Arial" w:cs="Arial" w:eastAsia="Arial" w:hAnsi="Arial"/>
                <w:sz w:val="18"/>
                <w:szCs w:val="18"/>
                <w:color w:val="auto"/>
              </w:rPr>
              <w:t>Acquisition and Refinitiv Transaction related D&amp;A</w:t>
            </w:r>
            <w:r>
              <w:rPr>
                <w:rFonts w:ascii="Arial" w:cs="Arial" w:eastAsia="Arial" w:hAnsi="Arial"/>
                <w:sz w:val="8"/>
                <w:szCs w:val="8"/>
                <w:color w:val="auto"/>
              </w:rPr>
              <w:t>1</w:t>
            </w:r>
          </w:p>
        </w:tc>
        <w:tc>
          <w:tcPr>
            <w:tcW w:w="340" w:type="dxa"/>
            <w:vAlign w:val="bottom"/>
          </w:tcPr>
          <w:p>
            <w:pPr>
              <w:spacing w:after="0"/>
              <w:rPr>
                <w:sz w:val="18"/>
                <w:szCs w:val="18"/>
                <w:color w:val="auto"/>
              </w:rPr>
            </w:pPr>
          </w:p>
        </w:tc>
        <w:tc>
          <w:tcPr>
            <w:tcW w:w="154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23,209</w:t>
            </w:r>
          </w:p>
        </w:tc>
        <w:tc>
          <w:tcPr>
            <w:tcW w:w="420" w:type="dxa"/>
            <w:vAlign w:val="bottom"/>
          </w:tcPr>
          <w:p>
            <w:pPr>
              <w:spacing w:after="0"/>
              <w:rPr>
                <w:sz w:val="18"/>
                <w:szCs w:val="18"/>
                <w:color w:val="auto"/>
              </w:rPr>
            </w:pPr>
          </w:p>
        </w:tc>
        <w:tc>
          <w:tcPr>
            <w:tcW w:w="1540" w:type="dxa"/>
            <w:vAlign w:val="bottom"/>
            <w:gridSpan w:val="3"/>
          </w:tcPr>
          <w:p>
            <w:pPr>
              <w:jc w:val="right"/>
              <w:ind w:right="140"/>
              <w:spacing w:after="0"/>
              <w:rPr>
                <w:sz w:val="20"/>
                <w:szCs w:val="20"/>
                <w:color w:val="auto"/>
              </w:rPr>
            </w:pPr>
            <w:r>
              <w:rPr>
                <w:rFonts w:ascii="Arial" w:cs="Arial" w:eastAsia="Arial" w:hAnsi="Arial"/>
                <w:sz w:val="18"/>
                <w:szCs w:val="18"/>
                <w:color w:val="auto"/>
              </w:rPr>
              <w:t>6,506</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Arial" w:cs="Arial" w:eastAsia="Arial" w:hAnsi="Arial"/>
                <w:sz w:val="18"/>
                <w:szCs w:val="18"/>
                <w:color w:val="auto"/>
              </w:rPr>
              <w:t>Unrealized foreign exchange (gains) / losses</w:t>
            </w:r>
          </w:p>
        </w:tc>
        <w:tc>
          <w:tcPr>
            <w:tcW w:w="340" w:type="dxa"/>
            <w:vAlign w:val="bottom"/>
          </w:tcPr>
          <w:p>
            <w:pPr>
              <w:spacing w:after="0"/>
              <w:rPr>
                <w:sz w:val="18"/>
                <w:szCs w:val="18"/>
                <w:color w:val="auto"/>
              </w:rPr>
            </w:pPr>
          </w:p>
        </w:tc>
        <w:tc>
          <w:tcPr>
            <w:tcW w:w="154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(293)</w:t>
            </w:r>
          </w:p>
        </w:tc>
        <w:tc>
          <w:tcPr>
            <w:tcW w:w="420" w:type="dxa"/>
            <w:vAlign w:val="bottom"/>
          </w:tcPr>
          <w:p>
            <w:pPr>
              <w:spacing w:after="0"/>
              <w:rPr>
                <w:sz w:val="18"/>
                <w:szCs w:val="18"/>
                <w:color w:val="auto"/>
              </w:rPr>
            </w:pPr>
          </w:p>
        </w:tc>
        <w:tc>
          <w:tcPr>
            <w:tcW w:w="1540" w:type="dxa"/>
            <w:vAlign w:val="bottom"/>
            <w:gridSpan w:val="3"/>
          </w:tcPr>
          <w:p>
            <w:pPr>
              <w:jc w:val="right"/>
              <w:ind w:right="14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03"/>
        </w:trPr>
        <w:tc>
          <w:tcPr>
            <w:tcW w:w="7580" w:type="dxa"/>
            <w:vAlign w:val="bottom"/>
          </w:tcPr>
          <w:p>
            <w:pPr>
              <w:ind w:left="120"/>
              <w:spacing w:after="0" w:line="203" w:lineRule="exact"/>
              <w:rPr>
                <w:sz w:val="20"/>
                <w:szCs w:val="20"/>
                <w:color w:val="auto"/>
              </w:rPr>
            </w:pPr>
            <w:r>
              <w:rPr>
                <w:rFonts w:ascii="Arial" w:cs="Arial" w:eastAsia="Arial" w:hAnsi="Arial"/>
                <w:sz w:val="18"/>
                <w:szCs w:val="18"/>
                <w:color w:val="auto"/>
              </w:rPr>
              <w:t>(Gain) / loss from revaluation of foreign-denominated cash</w:t>
            </w:r>
            <w:r>
              <w:rPr>
                <w:rFonts w:ascii="Arial" w:cs="Arial" w:eastAsia="Arial" w:hAnsi="Arial"/>
                <w:sz w:val="8"/>
                <w:szCs w:val="8"/>
                <w:color w:val="auto"/>
              </w:rPr>
              <w:t>2</w:t>
            </w:r>
          </w:p>
        </w:tc>
        <w:tc>
          <w:tcPr>
            <w:tcW w:w="340" w:type="dxa"/>
            <w:vAlign w:val="bottom"/>
            <w:tcBorders>
              <w:bottom w:val="single" w:sz="8" w:color="auto"/>
            </w:tcBorders>
          </w:tcPr>
          <w:p>
            <w:pPr>
              <w:spacing w:after="0"/>
              <w:rPr>
                <w:sz w:val="17"/>
                <w:szCs w:val="17"/>
                <w:color w:val="auto"/>
              </w:rPr>
            </w:pPr>
          </w:p>
        </w:tc>
        <w:tc>
          <w:tcPr>
            <w:tcW w:w="1540" w:type="dxa"/>
            <w:vAlign w:val="bottom"/>
            <w:tcBorders>
              <w:bottom w:val="single" w:sz="8" w:color="auto"/>
              <w:right w:val="single" w:sz="8" w:color="auto"/>
            </w:tcBorders>
            <w:gridSpan w:val="3"/>
          </w:tcPr>
          <w:p>
            <w:pPr>
              <w:jc w:val="right"/>
              <w:ind w:right="140"/>
              <w:spacing w:after="0" w:line="203" w:lineRule="exact"/>
              <w:rPr>
                <w:sz w:val="20"/>
                <w:szCs w:val="20"/>
                <w:color w:val="auto"/>
              </w:rPr>
            </w:pPr>
            <w:r>
              <w:rPr>
                <w:rFonts w:ascii="Arial" w:cs="Arial" w:eastAsia="Arial" w:hAnsi="Arial"/>
                <w:sz w:val="18"/>
                <w:szCs w:val="18"/>
                <w:color w:val="auto"/>
              </w:rPr>
              <w:t>860</w:t>
            </w:r>
          </w:p>
        </w:tc>
        <w:tc>
          <w:tcPr>
            <w:tcW w:w="4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140"/>
              <w:spacing w:after="0" w:line="203"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2"/>
        </w:trPr>
        <w:tc>
          <w:tcPr>
            <w:tcW w:w="7580" w:type="dxa"/>
            <w:vAlign w:val="bottom"/>
          </w:tcPr>
          <w:p>
            <w:pPr>
              <w:ind w:left="120"/>
              <w:spacing w:after="0"/>
              <w:rPr>
                <w:sz w:val="20"/>
                <w:szCs w:val="20"/>
                <w:color w:val="auto"/>
              </w:rPr>
            </w:pPr>
            <w:r>
              <w:rPr>
                <w:rFonts w:ascii="Arial" w:cs="Arial" w:eastAsia="Arial" w:hAnsi="Arial"/>
                <w:sz w:val="18"/>
                <w:szCs w:val="18"/>
                <w:color w:val="auto"/>
              </w:rPr>
              <w:t>Adjusted Net Income before income taxes</w:t>
            </w:r>
          </w:p>
        </w:tc>
        <w:tc>
          <w:tcPr>
            <w:tcW w:w="340" w:type="dxa"/>
            <w:vAlign w:val="bottom"/>
          </w:tcPr>
          <w:p>
            <w:pPr>
              <w:spacing w:after="0"/>
              <w:rPr>
                <w:sz w:val="19"/>
                <w:szCs w:val="19"/>
                <w:color w:val="auto"/>
              </w:rPr>
            </w:pPr>
          </w:p>
        </w:tc>
        <w:tc>
          <w:tcPr>
            <w:tcW w:w="154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70,911</w:t>
            </w:r>
          </w:p>
        </w:tc>
        <w:tc>
          <w:tcPr>
            <w:tcW w:w="420" w:type="dxa"/>
            <w:vAlign w:val="bottom"/>
          </w:tcPr>
          <w:p>
            <w:pPr>
              <w:spacing w:after="0"/>
              <w:rPr>
                <w:sz w:val="19"/>
                <w:szCs w:val="19"/>
                <w:color w:val="auto"/>
              </w:rPr>
            </w:pPr>
          </w:p>
        </w:tc>
        <w:tc>
          <w:tcPr>
            <w:tcW w:w="1540" w:type="dxa"/>
            <w:vAlign w:val="bottom"/>
            <w:gridSpan w:val="3"/>
          </w:tcPr>
          <w:p>
            <w:pPr>
              <w:jc w:val="right"/>
              <w:ind w:right="140"/>
              <w:spacing w:after="0"/>
              <w:rPr>
                <w:sz w:val="20"/>
                <w:szCs w:val="20"/>
                <w:color w:val="auto"/>
              </w:rPr>
            </w:pPr>
            <w:r>
              <w:rPr>
                <w:rFonts w:ascii="Arial" w:cs="Arial" w:eastAsia="Arial" w:hAnsi="Arial"/>
                <w:sz w:val="18"/>
                <w:szCs w:val="18"/>
                <w:color w:val="auto"/>
              </w:rPr>
              <w:t>63,390</w:t>
            </w:r>
          </w:p>
        </w:tc>
        <w:tc>
          <w:tcPr>
            <w:tcW w:w="0" w:type="dxa"/>
            <w:vAlign w:val="bottom"/>
          </w:tcPr>
          <w:p>
            <w:pPr>
              <w:spacing w:after="0"/>
              <w:rPr>
                <w:sz w:val="1"/>
                <w:szCs w:val="1"/>
                <w:color w:val="auto"/>
              </w:rPr>
            </w:pPr>
          </w:p>
        </w:tc>
      </w:tr>
      <w:tr>
        <w:trPr>
          <w:trHeight w:val="203"/>
        </w:trPr>
        <w:tc>
          <w:tcPr>
            <w:tcW w:w="7580" w:type="dxa"/>
            <w:vAlign w:val="bottom"/>
            <w:tcBorders>
              <w:bottom w:val="single" w:sz="8" w:color="auto"/>
            </w:tcBorders>
          </w:tcPr>
          <w:p>
            <w:pPr>
              <w:ind w:left="120"/>
              <w:spacing w:after="0" w:line="203" w:lineRule="exact"/>
              <w:rPr>
                <w:sz w:val="20"/>
                <w:szCs w:val="20"/>
                <w:color w:val="auto"/>
              </w:rPr>
            </w:pPr>
            <w:r>
              <w:rPr>
                <w:rFonts w:ascii="Arial" w:cs="Arial" w:eastAsia="Arial" w:hAnsi="Arial"/>
                <w:sz w:val="18"/>
                <w:szCs w:val="18"/>
                <w:color w:val="auto"/>
              </w:rPr>
              <w:t>Adjusted income taxes</w:t>
            </w:r>
            <w:r>
              <w:rPr>
                <w:rFonts w:ascii="Arial" w:cs="Arial" w:eastAsia="Arial" w:hAnsi="Arial"/>
                <w:sz w:val="8"/>
                <w:szCs w:val="8"/>
                <w:color w:val="auto"/>
              </w:rPr>
              <w:t>3</w:t>
            </w:r>
          </w:p>
        </w:tc>
        <w:tc>
          <w:tcPr>
            <w:tcW w:w="340" w:type="dxa"/>
            <w:vAlign w:val="bottom"/>
            <w:tcBorders>
              <w:bottom w:val="single" w:sz="8" w:color="auto"/>
            </w:tcBorders>
          </w:tcPr>
          <w:p>
            <w:pPr>
              <w:spacing w:after="0"/>
              <w:rPr>
                <w:sz w:val="17"/>
                <w:szCs w:val="17"/>
                <w:color w:val="auto"/>
              </w:rPr>
            </w:pPr>
          </w:p>
        </w:tc>
        <w:tc>
          <w:tcPr>
            <w:tcW w:w="1540" w:type="dxa"/>
            <w:vAlign w:val="bottom"/>
            <w:tcBorders>
              <w:bottom w:val="single" w:sz="8" w:color="auto"/>
              <w:right w:val="single" w:sz="8" w:color="auto"/>
            </w:tcBorders>
            <w:gridSpan w:val="3"/>
          </w:tcPr>
          <w:p>
            <w:pPr>
              <w:jc w:val="right"/>
              <w:ind w:right="140"/>
              <w:spacing w:after="0" w:line="203" w:lineRule="exact"/>
              <w:rPr>
                <w:sz w:val="20"/>
                <w:szCs w:val="20"/>
                <w:color w:val="auto"/>
              </w:rPr>
            </w:pPr>
            <w:r>
              <w:rPr>
                <w:rFonts w:ascii="Arial" w:cs="Arial" w:eastAsia="Arial" w:hAnsi="Arial"/>
                <w:sz w:val="18"/>
                <w:szCs w:val="18"/>
                <w:color w:val="auto"/>
              </w:rPr>
              <w:t>(18,721)</w:t>
            </w:r>
          </w:p>
        </w:tc>
        <w:tc>
          <w:tcPr>
            <w:tcW w:w="4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140"/>
              <w:spacing w:after="0" w:line="203" w:lineRule="exact"/>
              <w:rPr>
                <w:sz w:val="20"/>
                <w:szCs w:val="20"/>
                <w:color w:val="auto"/>
              </w:rPr>
            </w:pPr>
            <w:r>
              <w:rPr>
                <w:rFonts w:ascii="Arial" w:cs="Arial" w:eastAsia="Arial" w:hAnsi="Arial"/>
                <w:sz w:val="18"/>
                <w:szCs w:val="18"/>
                <w:color w:val="auto"/>
              </w:rPr>
              <w:t>(16,735)</w:t>
            </w:r>
          </w:p>
        </w:tc>
        <w:tc>
          <w:tcPr>
            <w:tcW w:w="0" w:type="dxa"/>
            <w:vAlign w:val="bottom"/>
          </w:tcPr>
          <w:p>
            <w:pPr>
              <w:spacing w:after="0"/>
              <w:rPr>
                <w:sz w:val="1"/>
                <w:szCs w:val="1"/>
                <w:color w:val="auto"/>
              </w:rPr>
            </w:pPr>
          </w:p>
        </w:tc>
      </w:tr>
      <w:tr>
        <w:trPr>
          <w:trHeight w:val="210"/>
        </w:trPr>
        <w:tc>
          <w:tcPr>
            <w:tcW w:w="75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Adjusted Net Income</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tcBorders>
              <w:bottom w:val="single" w:sz="8" w:color="auto"/>
              <w:right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52,190</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46,655</w:t>
            </w:r>
          </w:p>
        </w:tc>
        <w:tc>
          <w:tcPr>
            <w:tcW w:w="0" w:type="dxa"/>
            <w:vAlign w:val="bottom"/>
          </w:tcPr>
          <w:p>
            <w:pPr>
              <w:spacing w:after="0"/>
              <w:rPr>
                <w:sz w:val="1"/>
                <w:szCs w:val="1"/>
                <w:color w:val="auto"/>
              </w:rPr>
            </w:pPr>
          </w:p>
        </w:tc>
      </w:tr>
      <w:tr>
        <w:trPr>
          <w:trHeight w:val="210"/>
        </w:trPr>
        <w:tc>
          <w:tcPr>
            <w:tcW w:w="75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Share count (diluted)</w:t>
            </w: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right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223,320,457</w:t>
            </w:r>
          </w:p>
        </w:tc>
        <w:tc>
          <w:tcPr>
            <w:tcW w:w="4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213,435,321</w:t>
            </w:r>
          </w:p>
        </w:tc>
        <w:tc>
          <w:tcPr>
            <w:tcW w:w="0" w:type="dxa"/>
            <w:vAlign w:val="bottom"/>
          </w:tcPr>
          <w:p>
            <w:pPr>
              <w:spacing w:after="0"/>
              <w:rPr>
                <w:sz w:val="1"/>
                <w:szCs w:val="1"/>
                <w:color w:val="auto"/>
              </w:rPr>
            </w:pPr>
          </w:p>
        </w:tc>
      </w:tr>
      <w:tr>
        <w:trPr>
          <w:trHeight w:val="210"/>
        </w:trPr>
        <w:tc>
          <w:tcPr>
            <w:tcW w:w="75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Adjusted Diluted EPS</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540" w:type="dxa"/>
            <w:vAlign w:val="bottom"/>
            <w:tcBorders>
              <w:bottom w:val="single" w:sz="8" w:color="auto"/>
              <w:right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0.23</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0.22</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00" w:hanging="89"/>
        <w:spacing w:after="0"/>
        <w:tabs>
          <w:tab w:leader="none" w:pos="200" w:val="left"/>
        </w:tabs>
        <w:numPr>
          <w:ilvl w:val="0"/>
          <w:numId w:val="9"/>
        </w:numPr>
        <w:rPr>
          <w:rFonts w:ascii="Arial" w:cs="Arial" w:eastAsia="Arial" w:hAnsi="Arial"/>
          <w:sz w:val="14"/>
          <w:szCs w:val="14"/>
          <w:color w:val="auto"/>
          <w:vertAlign w:val="superscript"/>
        </w:rPr>
      </w:pPr>
      <w:r>
        <w:rPr>
          <w:rFonts w:ascii="Arial" w:cs="Arial" w:eastAsia="Arial" w:hAnsi="Arial"/>
          <w:sz w:val="14"/>
          <w:szCs w:val="14"/>
          <w:color w:val="auto"/>
        </w:rPr>
        <w:t>Represents acquisition-related intangibles amortization and increased tangible asset and capitalized software depreciation and amortization resulting from the Refinitiv</w:t>
      </w:r>
    </w:p>
    <w:p>
      <w:pPr>
        <w:spacing w:after="0" w:line="82" w:lineRule="exact"/>
        <w:rPr>
          <w:rFonts w:ascii="Arial" w:cs="Arial" w:eastAsia="Arial" w:hAnsi="Arial"/>
          <w:sz w:val="14"/>
          <w:szCs w:val="14"/>
          <w:color w:val="auto"/>
          <w:vertAlign w:val="superscript"/>
        </w:rPr>
      </w:pPr>
    </w:p>
    <w:p>
      <w:pPr>
        <w:ind w:left="120"/>
        <w:spacing w:after="0"/>
        <w:rPr>
          <w:rFonts w:ascii="Arial" w:cs="Arial" w:eastAsia="Arial" w:hAnsi="Arial"/>
          <w:sz w:val="14"/>
          <w:szCs w:val="14"/>
          <w:color w:val="auto"/>
          <w:vertAlign w:val="superscript"/>
        </w:rPr>
      </w:pPr>
      <w:r>
        <w:rPr>
          <w:rFonts w:ascii="Arial" w:cs="Arial" w:eastAsia="Arial" w:hAnsi="Arial"/>
          <w:sz w:val="14"/>
          <w:szCs w:val="14"/>
          <w:color w:val="auto"/>
        </w:rPr>
        <w:t>Transaction and the application of pushdown accounting (where all assets were marked to fair value as to the closing date of the Refinitiv Transaction).</w:t>
      </w:r>
    </w:p>
    <w:p>
      <w:pPr>
        <w:spacing w:after="0" w:line="52" w:lineRule="exact"/>
        <w:rPr>
          <w:rFonts w:ascii="Arial" w:cs="Arial" w:eastAsia="Arial" w:hAnsi="Arial"/>
          <w:sz w:val="14"/>
          <w:szCs w:val="14"/>
          <w:color w:val="auto"/>
          <w:vertAlign w:val="superscript"/>
        </w:rPr>
      </w:pPr>
    </w:p>
    <w:p>
      <w:pPr>
        <w:ind w:left="120"/>
        <w:spacing w:after="0"/>
        <w:rPr>
          <w:rFonts w:ascii="Arial" w:cs="Arial" w:eastAsia="Arial" w:hAnsi="Arial"/>
          <w:sz w:val="14"/>
          <w:szCs w:val="14"/>
          <w:color w:val="auto"/>
          <w:vertAlign w:val="superscript"/>
        </w:rPr>
      </w:pPr>
      <w:r>
        <w:rPr>
          <w:rFonts w:ascii="Arial" w:cs="Arial" w:eastAsia="Arial" w:hAnsi="Arial"/>
          <w:sz w:val="14"/>
          <w:szCs w:val="14"/>
          <w:color w:val="auto"/>
          <w:vertAlign w:val="superscript"/>
        </w:rPr>
        <w:t>2</w:t>
      </w:r>
      <w:r>
        <w:rPr>
          <w:rFonts w:ascii="Arial" w:cs="Arial" w:eastAsia="Arial" w:hAnsi="Arial"/>
          <w:sz w:val="14"/>
          <w:szCs w:val="14"/>
          <w:color w:val="auto"/>
        </w:rPr>
        <w:t xml:space="preserve"> Represents foreign exchange gain or loss from the revaluation of cash denominated in a different currency than the entity’s functional currency.</w:t>
      </w:r>
    </w:p>
    <w:p>
      <w:pPr>
        <w:spacing w:after="0" w:line="82" w:lineRule="exact"/>
        <w:rPr>
          <w:rFonts w:ascii="Arial" w:cs="Arial" w:eastAsia="Arial" w:hAnsi="Arial"/>
          <w:sz w:val="14"/>
          <w:szCs w:val="14"/>
          <w:color w:val="auto"/>
          <w:vertAlign w:val="superscript"/>
        </w:rPr>
      </w:pPr>
    </w:p>
    <w:p>
      <w:pPr>
        <w:ind w:left="120" w:right="140"/>
        <w:spacing w:after="0" w:line="382" w:lineRule="auto"/>
        <w:rPr>
          <w:rFonts w:ascii="Arial" w:cs="Arial" w:eastAsia="Arial" w:hAnsi="Arial"/>
          <w:sz w:val="14"/>
          <w:szCs w:val="14"/>
          <w:color w:val="auto"/>
          <w:vertAlign w:val="superscript"/>
        </w:rPr>
      </w:pPr>
      <w:r>
        <w:rPr>
          <w:rFonts w:ascii="Arial" w:cs="Arial" w:eastAsia="Arial" w:hAnsi="Arial"/>
          <w:sz w:val="14"/>
          <w:szCs w:val="14"/>
          <w:color w:val="auto"/>
          <w:vertAlign w:val="superscript"/>
        </w:rPr>
        <w:t>3</w:t>
      </w:r>
      <w:r>
        <w:rPr>
          <w:rFonts w:ascii="Arial" w:cs="Arial" w:eastAsia="Arial" w:hAnsi="Arial"/>
          <w:sz w:val="14"/>
          <w:szCs w:val="14"/>
          <w:color w:val="auto"/>
        </w:rPr>
        <w:t xml:space="preserve"> Represents corporate income taxes at an assumed effective tax rate of 26.4% for the quarters ended March 31, 2019 and 2018 applied to Adjusted Net Income before income taxes. This adjustment assumes Tradeweb Markets LLC was subject to a corporate tax rate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116840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062"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63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240" w:type="dxa"/>
            <w:vAlign w:val="bottom"/>
            <w:gridSpan w:val="7"/>
          </w:tcPr>
          <w:p>
            <w:pPr>
              <w:jc w:val="right"/>
              <w:ind w:right="64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3"/>
        </w:trPr>
        <w:tc>
          <w:tcPr>
            <w:tcW w:w="638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Operating Expenses to Adjusted Expenses</w:t>
            </w:r>
          </w:p>
        </w:tc>
        <w:tc>
          <w:tcPr>
            <w:tcW w:w="1800" w:type="dxa"/>
            <w:vAlign w:val="bottom"/>
          </w:tcPr>
          <w:p>
            <w:pPr>
              <w:spacing w:after="0" w:line="20" w:lineRule="exact"/>
              <w:rPr>
                <w:sz w:val="1"/>
                <w:szCs w:val="1"/>
                <w:color w:val="auto"/>
              </w:rPr>
            </w:pPr>
          </w:p>
        </w:tc>
        <w:tc>
          <w:tcPr>
            <w:tcW w:w="1440" w:type="dxa"/>
            <w:vAlign w:val="bottom"/>
            <w:gridSpan w:val="2"/>
            <w:vMerge w:val="restart"/>
          </w:tcPr>
          <w:p>
            <w:pPr>
              <w:jc w:val="right"/>
              <w:ind w:right="540"/>
              <w:spacing w:after="0" w:line="199" w:lineRule="exact"/>
              <w:rPr>
                <w:sz w:val="20"/>
                <w:szCs w:val="20"/>
                <w:color w:val="auto"/>
              </w:rPr>
            </w:pPr>
            <w:r>
              <w:rPr>
                <w:rFonts w:ascii="Arial" w:cs="Arial" w:eastAsia="Arial" w:hAnsi="Arial"/>
                <w:sz w:val="18"/>
                <w:szCs w:val="18"/>
                <w:b w:val="1"/>
                <w:bCs w:val="1"/>
                <w:color w:val="auto"/>
                <w:w w:val="96"/>
              </w:rPr>
              <w:t>Successor</w:t>
            </w:r>
          </w:p>
        </w:tc>
        <w:tc>
          <w:tcPr>
            <w:tcW w:w="20" w:type="dxa"/>
            <w:vAlign w:val="bottom"/>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400" w:type="dxa"/>
            <w:vAlign w:val="bottom"/>
            <w:gridSpan w:val="3"/>
            <w:vMerge w:val="restart"/>
          </w:tcPr>
          <w:p>
            <w:pPr>
              <w:jc w:val="right"/>
              <w:ind w:right="320"/>
              <w:spacing w:after="0" w:line="199" w:lineRule="exact"/>
              <w:rPr>
                <w:sz w:val="20"/>
                <w:szCs w:val="20"/>
                <w:color w:val="auto"/>
              </w:rPr>
            </w:pPr>
            <w:r>
              <w:rPr>
                <w:rFonts w:ascii="Arial" w:cs="Arial" w:eastAsia="Arial" w:hAnsi="Arial"/>
                <w:sz w:val="18"/>
                <w:szCs w:val="18"/>
                <w:b w:val="1"/>
                <w:bCs w:val="1"/>
                <w:color w:val="auto"/>
                <w:w w:val="98"/>
              </w:rPr>
              <w:t>Predecessor</w:t>
            </w:r>
          </w:p>
        </w:tc>
        <w:tc>
          <w:tcPr>
            <w:tcW w:w="0" w:type="dxa"/>
            <w:vAlign w:val="bottom"/>
          </w:tcPr>
          <w:p>
            <w:pPr>
              <w:spacing w:after="0" w:line="20" w:lineRule="exact"/>
              <w:rPr>
                <w:sz w:val="1"/>
                <w:szCs w:val="1"/>
                <w:color w:val="auto"/>
              </w:rPr>
            </w:pPr>
          </w:p>
        </w:tc>
      </w:tr>
      <w:tr>
        <w:trPr>
          <w:trHeight w:val="176"/>
        </w:trPr>
        <w:tc>
          <w:tcPr>
            <w:tcW w:w="6380" w:type="dxa"/>
            <w:vAlign w:val="bottom"/>
            <w:vMerge w:val="continue"/>
          </w:tcPr>
          <w:p>
            <w:pPr>
              <w:spacing w:after="0"/>
              <w:rPr>
                <w:sz w:val="15"/>
                <w:szCs w:val="15"/>
                <w:color w:val="auto"/>
              </w:rPr>
            </w:pPr>
          </w:p>
        </w:tc>
        <w:tc>
          <w:tcPr>
            <w:tcW w:w="180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380" w:type="dxa"/>
            <w:vAlign w:val="bottom"/>
            <w:vMerge w:val="continue"/>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tcBorders>
              <w:bottom w:val="single" w:sz="8" w:color="auto"/>
            </w:tcBorders>
            <w:vMerge w:val="continue"/>
          </w:tcPr>
          <w:p>
            <w:pPr>
              <w:spacing w:after="0"/>
              <w:rPr>
                <w:sz w:val="18"/>
                <w:szCs w:val="18"/>
                <w:color w:val="auto"/>
              </w:rPr>
            </w:pPr>
          </w:p>
        </w:tc>
        <w:tc>
          <w:tcPr>
            <w:tcW w:w="3240" w:type="dxa"/>
            <w:vAlign w:val="bottom"/>
            <w:tcBorders>
              <w:bottom w:val="single" w:sz="8" w:color="auto"/>
            </w:tcBorders>
            <w:gridSpan w:val="3"/>
          </w:tcPr>
          <w:p>
            <w:pPr>
              <w:ind w:left="1620"/>
              <w:spacing w:after="0"/>
              <w:rPr>
                <w:sz w:val="20"/>
                <w:szCs w:val="20"/>
                <w:color w:val="auto"/>
              </w:rPr>
            </w:pPr>
            <w:r>
              <w:rPr>
                <w:rFonts w:ascii="Arial" w:cs="Arial" w:eastAsia="Arial" w:hAnsi="Arial"/>
                <w:sz w:val="18"/>
                <w:szCs w:val="18"/>
                <w:b w:val="1"/>
                <w:bCs w:val="1"/>
                <w:color w:val="auto"/>
              </w:rPr>
              <w:t>March 31, 2019</w:t>
            </w:r>
          </w:p>
        </w:tc>
        <w:tc>
          <w:tcPr>
            <w:tcW w:w="20" w:type="dxa"/>
            <w:vAlign w:val="bottom"/>
            <w:tcBorders>
              <w:bottom w:val="single" w:sz="8" w:color="auto"/>
            </w:tcBorders>
            <w:shd w:val="clear" w:color="auto" w:fill="000000"/>
          </w:tcPr>
          <w:p>
            <w:pPr>
              <w:spacing w:after="0"/>
              <w:rPr>
                <w:sz w:val="18"/>
                <w:szCs w:val="18"/>
                <w:color w:val="auto"/>
              </w:rPr>
            </w:pPr>
          </w:p>
        </w:tc>
        <w:tc>
          <w:tcPr>
            <w:tcW w:w="1780" w:type="dxa"/>
            <w:vAlign w:val="bottom"/>
            <w:tcBorders>
              <w:bottom w:val="single" w:sz="8" w:color="auto"/>
            </w:tcBorders>
            <w:gridSpan w:val="4"/>
          </w:tcPr>
          <w:p>
            <w:pPr>
              <w:ind w:left="280"/>
              <w:spacing w:after="0"/>
              <w:rPr>
                <w:sz w:val="20"/>
                <w:szCs w:val="20"/>
                <w:color w:val="auto"/>
              </w:rPr>
            </w:pPr>
            <w:r>
              <w:rPr>
                <w:rFonts w:ascii="Arial" w:cs="Arial" w:eastAsia="Arial" w:hAnsi="Arial"/>
                <w:sz w:val="18"/>
                <w:szCs w:val="18"/>
                <w:b w:val="1"/>
                <w:bCs w:val="1"/>
                <w:color w:val="auto"/>
              </w:rPr>
              <w:t>March 31, 2018</w:t>
            </w:r>
          </w:p>
        </w:tc>
        <w:tc>
          <w:tcPr>
            <w:tcW w:w="0" w:type="dxa"/>
            <w:vAlign w:val="bottom"/>
          </w:tcPr>
          <w:p>
            <w:pPr>
              <w:spacing w:after="0"/>
              <w:rPr>
                <w:sz w:val="1"/>
                <w:szCs w:val="1"/>
                <w:color w:val="auto"/>
              </w:rPr>
            </w:pPr>
          </w:p>
        </w:tc>
      </w:tr>
      <w:tr>
        <w:trPr>
          <w:trHeight w:val="196"/>
        </w:trPr>
        <w:tc>
          <w:tcPr>
            <w:tcW w:w="638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b w:val="1"/>
                <w:bCs w:val="1"/>
                <w:color w:val="auto"/>
              </w:rPr>
              <w:t>Operating Expenses</w:t>
            </w:r>
          </w:p>
        </w:tc>
        <w:tc>
          <w:tcPr>
            <w:tcW w:w="1800" w:type="dxa"/>
            <w:vAlign w:val="bottom"/>
            <w:tcBorders>
              <w:bottom w:val="single" w:sz="8" w:color="auto"/>
            </w:tcBorders>
          </w:tcPr>
          <w:p>
            <w:pPr>
              <w:ind w:left="1620"/>
              <w:spacing w:after="0" w:line="196" w:lineRule="exact"/>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tcBorders>
            <w:gridSpan w:val="2"/>
          </w:tcPr>
          <w:p>
            <w:pPr>
              <w:jc w:val="right"/>
              <w:ind w:right="280"/>
              <w:spacing w:after="0" w:line="196" w:lineRule="exact"/>
              <w:rPr>
                <w:sz w:val="20"/>
                <w:szCs w:val="20"/>
                <w:color w:val="auto"/>
              </w:rPr>
            </w:pPr>
            <w:r>
              <w:rPr>
                <w:rFonts w:ascii="Arial" w:cs="Arial" w:eastAsia="Arial" w:hAnsi="Arial"/>
                <w:sz w:val="18"/>
                <w:szCs w:val="18"/>
                <w:b w:val="1"/>
                <w:bCs w:val="1"/>
                <w:color w:val="auto"/>
              </w:rPr>
              <w:t>140,515</w:t>
            </w:r>
          </w:p>
        </w:tc>
        <w:tc>
          <w:tcPr>
            <w:tcW w:w="20" w:type="dxa"/>
            <w:vAlign w:val="bottom"/>
            <w:tcBorders>
              <w:bottom w:val="single" w:sz="8" w:color="auto"/>
            </w:tcBorders>
            <w:shd w:val="clear" w:color="auto" w:fill="000000"/>
          </w:tcPr>
          <w:p>
            <w:pPr>
              <w:spacing w:after="0"/>
              <w:rPr>
                <w:sz w:val="17"/>
                <w:szCs w:val="17"/>
                <w:color w:val="auto"/>
              </w:rPr>
            </w:pPr>
          </w:p>
        </w:tc>
        <w:tc>
          <w:tcPr>
            <w:tcW w:w="700" w:type="dxa"/>
            <w:vAlign w:val="bottom"/>
            <w:tcBorders>
              <w:bottom w:val="single" w:sz="8" w:color="auto"/>
            </w:tcBorders>
            <w:gridSpan w:val="2"/>
          </w:tcPr>
          <w:p>
            <w:pPr>
              <w:ind w:left="300"/>
              <w:spacing w:after="0" w:line="196" w:lineRule="exact"/>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rPr>
              <w:t>112,078</w:t>
            </w:r>
          </w:p>
        </w:tc>
        <w:tc>
          <w:tcPr>
            <w:tcW w:w="0" w:type="dxa"/>
            <w:vAlign w:val="bottom"/>
          </w:tcPr>
          <w:p>
            <w:pPr>
              <w:spacing w:after="0"/>
              <w:rPr>
                <w:sz w:val="1"/>
                <w:szCs w:val="1"/>
                <w:color w:val="auto"/>
              </w:rPr>
            </w:pPr>
          </w:p>
        </w:tc>
      </w:tr>
      <w:tr>
        <w:trPr>
          <w:trHeight w:val="195"/>
        </w:trPr>
        <w:tc>
          <w:tcPr>
            <w:tcW w:w="6380" w:type="dxa"/>
            <w:vAlign w:val="bottom"/>
          </w:tcPr>
          <w:p>
            <w:pPr>
              <w:ind w:left="80"/>
              <w:spacing w:after="0" w:line="195" w:lineRule="exact"/>
              <w:rPr>
                <w:sz w:val="20"/>
                <w:szCs w:val="20"/>
                <w:color w:val="auto"/>
              </w:rPr>
            </w:pPr>
            <w:r>
              <w:rPr>
                <w:rFonts w:ascii="Arial" w:cs="Arial" w:eastAsia="Arial" w:hAnsi="Arial"/>
                <w:sz w:val="17"/>
                <w:szCs w:val="17"/>
                <w:color w:val="auto"/>
              </w:rPr>
              <w:t>Acquisition and Refinitiv Transaction related D&amp;A</w:t>
            </w:r>
            <w:r>
              <w:rPr>
                <w:rFonts w:ascii="Arial" w:cs="Arial" w:eastAsia="Arial" w:hAnsi="Arial"/>
                <w:sz w:val="22"/>
                <w:szCs w:val="22"/>
                <w:color w:val="auto"/>
                <w:vertAlign w:val="superscript"/>
              </w:rPr>
              <w:t>1</w:t>
            </w:r>
          </w:p>
        </w:tc>
        <w:tc>
          <w:tcPr>
            <w:tcW w:w="1800" w:type="dxa"/>
            <w:vAlign w:val="bottom"/>
          </w:tcPr>
          <w:p>
            <w:pPr>
              <w:spacing w:after="0"/>
              <w:rPr>
                <w:sz w:val="16"/>
                <w:szCs w:val="16"/>
                <w:color w:val="auto"/>
              </w:rPr>
            </w:pPr>
          </w:p>
        </w:tc>
        <w:tc>
          <w:tcPr>
            <w:tcW w:w="1440" w:type="dxa"/>
            <w:vAlign w:val="bottom"/>
            <w:gridSpan w:val="2"/>
          </w:tcPr>
          <w:p>
            <w:pPr>
              <w:jc w:val="right"/>
              <w:ind w:right="200"/>
              <w:spacing w:after="0" w:line="195" w:lineRule="exact"/>
              <w:rPr>
                <w:sz w:val="20"/>
                <w:szCs w:val="20"/>
                <w:color w:val="auto"/>
              </w:rPr>
            </w:pPr>
            <w:r>
              <w:rPr>
                <w:rFonts w:ascii="Arial" w:cs="Arial" w:eastAsia="Arial" w:hAnsi="Arial"/>
                <w:sz w:val="18"/>
                <w:szCs w:val="18"/>
                <w:color w:val="auto"/>
              </w:rPr>
              <w:t>(23,209)</w:t>
            </w:r>
          </w:p>
        </w:tc>
        <w:tc>
          <w:tcPr>
            <w:tcW w:w="20" w:type="dxa"/>
            <w:vAlign w:val="bottom"/>
            <w:shd w:val="clear" w:color="auto" w:fill="000000"/>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gridSpan w:val="2"/>
          </w:tcPr>
          <w:p>
            <w:pPr>
              <w:jc w:val="right"/>
              <w:ind w:right="100"/>
              <w:spacing w:after="0" w:line="195" w:lineRule="exact"/>
              <w:rPr>
                <w:sz w:val="20"/>
                <w:szCs w:val="20"/>
                <w:color w:val="auto"/>
              </w:rPr>
            </w:pPr>
            <w:r>
              <w:rPr>
                <w:rFonts w:ascii="Arial" w:cs="Arial" w:eastAsia="Arial" w:hAnsi="Arial"/>
                <w:sz w:val="18"/>
                <w:szCs w:val="18"/>
                <w:color w:val="auto"/>
              </w:rPr>
              <w:t>(6,506)</w:t>
            </w:r>
          </w:p>
        </w:tc>
        <w:tc>
          <w:tcPr>
            <w:tcW w:w="0" w:type="dxa"/>
            <w:vAlign w:val="bottom"/>
          </w:tcPr>
          <w:p>
            <w:pPr>
              <w:spacing w:after="0"/>
              <w:rPr>
                <w:sz w:val="1"/>
                <w:szCs w:val="1"/>
                <w:color w:val="auto"/>
              </w:rPr>
            </w:pPr>
          </w:p>
        </w:tc>
      </w:tr>
      <w:tr>
        <w:trPr>
          <w:trHeight w:val="203"/>
        </w:trPr>
        <w:tc>
          <w:tcPr>
            <w:tcW w:w="6380" w:type="dxa"/>
            <w:vAlign w:val="bottom"/>
          </w:tcPr>
          <w:p>
            <w:pPr>
              <w:ind w:left="80"/>
              <w:spacing w:after="0" w:line="202" w:lineRule="exact"/>
              <w:rPr>
                <w:sz w:val="20"/>
                <w:szCs w:val="20"/>
                <w:color w:val="auto"/>
              </w:rPr>
            </w:pPr>
            <w:r>
              <w:rPr>
                <w:rFonts w:ascii="Arial" w:cs="Arial" w:eastAsia="Arial" w:hAnsi="Arial"/>
                <w:sz w:val="18"/>
                <w:szCs w:val="18"/>
                <w:color w:val="auto"/>
              </w:rPr>
              <w:t>Unrealized foreign exchange gains / (losses)</w:t>
            </w:r>
          </w:p>
        </w:tc>
        <w:tc>
          <w:tcPr>
            <w:tcW w:w="1800" w:type="dxa"/>
            <w:vAlign w:val="bottom"/>
          </w:tcPr>
          <w:p>
            <w:pPr>
              <w:spacing w:after="0"/>
              <w:rPr>
                <w:sz w:val="17"/>
                <w:szCs w:val="17"/>
                <w:color w:val="auto"/>
              </w:rPr>
            </w:pPr>
          </w:p>
        </w:tc>
        <w:tc>
          <w:tcPr>
            <w:tcW w:w="14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293</w:t>
            </w:r>
          </w:p>
        </w:tc>
        <w:tc>
          <w:tcPr>
            <w:tcW w:w="20" w:type="dxa"/>
            <w:vAlign w:val="bottom"/>
            <w:shd w:val="clear" w:color="auto" w:fill="000000"/>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03"/>
        </w:trPr>
        <w:tc>
          <w:tcPr>
            <w:tcW w:w="6380" w:type="dxa"/>
            <w:vAlign w:val="bottom"/>
            <w:tcBorders>
              <w:bottom w:val="single" w:sz="8" w:color="auto"/>
            </w:tcBorders>
          </w:tcPr>
          <w:p>
            <w:pPr>
              <w:ind w:left="80"/>
              <w:spacing w:after="0" w:line="203" w:lineRule="exact"/>
              <w:rPr>
                <w:sz w:val="20"/>
                <w:szCs w:val="20"/>
                <w:color w:val="auto"/>
              </w:rPr>
            </w:pPr>
            <w:r>
              <w:rPr>
                <w:rFonts w:ascii="Arial" w:cs="Arial" w:eastAsia="Arial" w:hAnsi="Arial"/>
                <w:sz w:val="18"/>
                <w:szCs w:val="18"/>
                <w:color w:val="auto"/>
              </w:rPr>
              <w:t>Gain / (loss) from revaluation of foreign-denominated cash</w:t>
            </w:r>
            <w:r>
              <w:rPr>
                <w:rFonts w:ascii="Arial" w:cs="Arial" w:eastAsia="Arial" w:hAnsi="Arial"/>
                <w:sz w:val="23"/>
                <w:szCs w:val="23"/>
                <w:color w:val="auto"/>
                <w:vertAlign w:val="superscript"/>
              </w:rPr>
              <w:t>2</w:t>
            </w:r>
          </w:p>
        </w:tc>
        <w:tc>
          <w:tcPr>
            <w:tcW w:w="18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200"/>
              <w:spacing w:after="0" w:line="203" w:lineRule="exact"/>
              <w:rPr>
                <w:sz w:val="20"/>
                <w:szCs w:val="20"/>
                <w:color w:val="auto"/>
              </w:rPr>
            </w:pPr>
            <w:r>
              <w:rPr>
                <w:rFonts w:ascii="Arial" w:cs="Arial" w:eastAsia="Arial" w:hAnsi="Arial"/>
                <w:sz w:val="18"/>
                <w:szCs w:val="18"/>
                <w:color w:val="auto"/>
              </w:rPr>
              <w:t>(860)</w:t>
            </w:r>
          </w:p>
        </w:tc>
        <w:tc>
          <w:tcPr>
            <w:tcW w:w="20" w:type="dxa"/>
            <w:vAlign w:val="bottom"/>
            <w:tcBorders>
              <w:bottom w:val="single" w:sz="8" w:color="auto"/>
            </w:tcBorders>
            <w:shd w:val="clear" w:color="auto" w:fill="000000"/>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100"/>
              <w:spacing w:after="0" w:line="203"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638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b w:val="1"/>
                <w:bCs w:val="1"/>
                <w:color w:val="auto"/>
              </w:rPr>
              <w:t>Adjusted Expenses</w:t>
            </w:r>
          </w:p>
        </w:tc>
        <w:tc>
          <w:tcPr>
            <w:tcW w:w="1800" w:type="dxa"/>
            <w:vAlign w:val="bottom"/>
            <w:tcBorders>
              <w:bottom w:val="single" w:sz="8" w:color="auto"/>
            </w:tcBorders>
          </w:tcPr>
          <w:p>
            <w:pPr>
              <w:ind w:left="1620"/>
              <w:spacing w:after="0" w:line="196" w:lineRule="exact"/>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tcBorders>
            <w:gridSpan w:val="2"/>
          </w:tcPr>
          <w:p>
            <w:pPr>
              <w:jc w:val="right"/>
              <w:ind w:right="280"/>
              <w:spacing w:after="0" w:line="196" w:lineRule="exact"/>
              <w:rPr>
                <w:sz w:val="20"/>
                <w:szCs w:val="20"/>
                <w:color w:val="auto"/>
              </w:rPr>
            </w:pPr>
            <w:r>
              <w:rPr>
                <w:rFonts w:ascii="Arial" w:cs="Arial" w:eastAsia="Arial" w:hAnsi="Arial"/>
                <w:sz w:val="18"/>
                <w:szCs w:val="18"/>
                <w:b w:val="1"/>
                <w:bCs w:val="1"/>
                <w:color w:val="auto"/>
              </w:rPr>
              <w:t>116,739</w:t>
            </w:r>
          </w:p>
        </w:tc>
        <w:tc>
          <w:tcPr>
            <w:tcW w:w="20" w:type="dxa"/>
            <w:vAlign w:val="bottom"/>
            <w:tcBorders>
              <w:bottom w:val="single" w:sz="8" w:color="auto"/>
            </w:tcBorders>
            <w:shd w:val="clear" w:color="auto" w:fill="000000"/>
          </w:tcPr>
          <w:p>
            <w:pPr>
              <w:spacing w:after="0"/>
              <w:rPr>
                <w:sz w:val="17"/>
                <w:szCs w:val="17"/>
                <w:color w:val="auto"/>
              </w:rPr>
            </w:pPr>
          </w:p>
        </w:tc>
        <w:tc>
          <w:tcPr>
            <w:tcW w:w="700" w:type="dxa"/>
            <w:vAlign w:val="bottom"/>
            <w:tcBorders>
              <w:bottom w:val="single" w:sz="8" w:color="auto"/>
            </w:tcBorders>
            <w:gridSpan w:val="2"/>
          </w:tcPr>
          <w:p>
            <w:pPr>
              <w:ind w:left="300"/>
              <w:spacing w:after="0" w:line="196" w:lineRule="exact"/>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rPr>
              <w:t>106,584</w:t>
            </w:r>
          </w:p>
        </w:tc>
        <w:tc>
          <w:tcPr>
            <w:tcW w:w="0" w:type="dxa"/>
            <w:vAlign w:val="bottom"/>
          </w:tcPr>
          <w:p>
            <w:pPr>
              <w:spacing w:after="0"/>
              <w:rPr>
                <w:sz w:val="1"/>
                <w:szCs w:val="1"/>
                <w:color w:val="auto"/>
              </w:rPr>
            </w:pPr>
          </w:p>
        </w:tc>
      </w:tr>
    </w:tbl>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6195060</wp:posOffset>
            </wp:positionH>
            <wp:positionV relativeFrom="page">
              <wp:posOffset>226060</wp:posOffset>
            </wp:positionV>
            <wp:extent cx="1003300" cy="3086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08610"/>
                    </a:xfrm>
                    <a:prstGeom prst="rect">
                      <a:avLst/>
                    </a:prstGeom>
                    <a:noFill/>
                  </pic:spPr>
                </pic:pic>
              </a:graphicData>
            </a:graphic>
          </wp:anchor>
        </w:drawing>
      </w:r>
    </w:p>
    <w:p>
      <w:pPr>
        <w:ind w:left="80" w:right="720" w:hanging="7"/>
        <w:spacing w:after="0" w:line="211" w:lineRule="auto"/>
        <w:tabs>
          <w:tab w:leader="none" w:pos="17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Represents acquisition-related intangibles amortization and increased tangible asset and capitalized software depreciation and amortization resulting from the Refinitiv Transaction and the application of pushdown accounting (where all assets were marked to fair value as to the closing date of the Refinitiv Transaction).</w:t>
      </w:r>
    </w:p>
    <w:p>
      <w:pPr>
        <w:ind w:left="80"/>
        <w:spacing w:after="0"/>
        <w:rPr>
          <w:rFonts w:ascii="Arial" w:cs="Arial" w:eastAsia="Arial" w:hAnsi="Arial"/>
          <w:sz w:val="18"/>
          <w:szCs w:val="18"/>
          <w:color w:val="auto"/>
          <w:vertAlign w:val="superscript"/>
        </w:rPr>
      </w:pPr>
      <w:r>
        <w:rPr>
          <w:rFonts w:ascii="Arial" w:cs="Arial" w:eastAsia="Arial" w:hAnsi="Arial"/>
          <w:sz w:val="17"/>
          <w:szCs w:val="17"/>
          <w:color w:val="auto"/>
          <w:vertAlign w:val="superscript"/>
        </w:rPr>
        <w:t>2</w:t>
      </w:r>
      <w:r>
        <w:rPr>
          <w:rFonts w:ascii="Arial" w:cs="Arial" w:eastAsia="Arial" w:hAnsi="Arial"/>
          <w:sz w:val="14"/>
          <w:szCs w:val="14"/>
          <w:color w:val="auto"/>
        </w:rPr>
        <w:t xml:space="preserve"> Represents foreign exchange gain or loss from the revaluation of cash denominated in a different currency than the entity’s functional currency</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24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w w:val="98"/>
              </w:rPr>
              <w:t>QUARTERLY TRADE VOLUME</w:t>
            </w: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03"/>
        </w:trPr>
        <w:tc>
          <w:tcPr>
            <w:tcW w:w="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2"/>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73"/>
        </w:trPr>
        <w:tc>
          <w:tcPr>
            <w:tcW w:w="60" w:type="dxa"/>
            <w:vAlign w:val="bottom"/>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152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1Q19</w:t>
            </w:r>
          </w:p>
        </w:tc>
        <w:tc>
          <w:tcPr>
            <w:tcW w:w="1040" w:type="dxa"/>
            <w:vAlign w:val="bottom"/>
            <w:tcBorders>
              <w:right w:val="single" w:sz="8" w:color="auto"/>
            </w:tcBorders>
          </w:tcPr>
          <w:p>
            <w:pPr>
              <w:spacing w:after="0"/>
              <w:rPr>
                <w:sz w:val="15"/>
                <w:szCs w:val="15"/>
                <w:color w:val="auto"/>
              </w:rPr>
            </w:pPr>
          </w:p>
        </w:tc>
        <w:tc>
          <w:tcPr>
            <w:tcW w:w="980" w:type="dxa"/>
            <w:vAlign w:val="bottom"/>
          </w:tcPr>
          <w:p>
            <w:pPr>
              <w:spacing w:after="0"/>
              <w:rPr>
                <w:sz w:val="15"/>
                <w:szCs w:val="15"/>
                <w:color w:val="auto"/>
              </w:rPr>
            </w:pPr>
          </w:p>
        </w:tc>
        <w:tc>
          <w:tcPr>
            <w:tcW w:w="1420" w:type="dxa"/>
            <w:vAlign w:val="bottom"/>
            <w:tcBorders>
              <w:right w:val="single" w:sz="8" w:color="auto"/>
            </w:tcBorders>
          </w:tcPr>
          <w:p>
            <w:pPr>
              <w:jc w:val="right"/>
              <w:ind w:right="890"/>
              <w:spacing w:after="0" w:line="173" w:lineRule="exact"/>
              <w:rPr>
                <w:sz w:val="20"/>
                <w:szCs w:val="20"/>
                <w:color w:val="auto"/>
              </w:rPr>
            </w:pPr>
            <w:r>
              <w:rPr>
                <w:rFonts w:ascii="Arial" w:cs="Arial" w:eastAsia="Arial" w:hAnsi="Arial"/>
                <w:sz w:val="18"/>
                <w:szCs w:val="18"/>
                <w:b w:val="1"/>
                <w:bCs w:val="1"/>
                <w:color w:val="auto"/>
                <w:w w:val="95"/>
              </w:rPr>
              <w:t>4Q18</w:t>
            </w:r>
          </w:p>
        </w:tc>
        <w:tc>
          <w:tcPr>
            <w:tcW w:w="2300" w:type="dxa"/>
            <w:vAlign w:val="bottom"/>
            <w:tcBorders>
              <w:right w:val="single" w:sz="8" w:color="auto"/>
            </w:tcBorders>
            <w:gridSpan w:val="2"/>
          </w:tcPr>
          <w:p>
            <w:pPr>
              <w:jc w:val="right"/>
              <w:ind w:right="850"/>
              <w:spacing w:after="0" w:line="173" w:lineRule="exact"/>
              <w:rPr>
                <w:sz w:val="20"/>
                <w:szCs w:val="20"/>
                <w:color w:val="auto"/>
              </w:rPr>
            </w:pPr>
            <w:r>
              <w:rPr>
                <w:rFonts w:ascii="Arial" w:cs="Arial" w:eastAsia="Arial" w:hAnsi="Arial"/>
                <w:sz w:val="18"/>
                <w:szCs w:val="18"/>
                <w:b w:val="1"/>
                <w:bCs w:val="1"/>
                <w:color w:val="auto"/>
              </w:rPr>
              <w:t>1Q18</w:t>
            </w:r>
          </w:p>
        </w:tc>
        <w:tc>
          <w:tcPr>
            <w:tcW w:w="1080" w:type="dxa"/>
            <w:vAlign w:val="bottom"/>
            <w:tcBorders>
              <w:right w:val="single" w:sz="8" w:color="auto"/>
            </w:tcBorders>
          </w:tcPr>
          <w:p>
            <w:pPr>
              <w:jc w:val="right"/>
              <w:ind w:right="270"/>
              <w:spacing w:after="0" w:line="173" w:lineRule="exact"/>
              <w:rPr>
                <w:sz w:val="20"/>
                <w:szCs w:val="20"/>
                <w:color w:val="auto"/>
              </w:rPr>
            </w:pPr>
            <w:r>
              <w:rPr>
                <w:rFonts w:ascii="Arial" w:cs="Arial" w:eastAsia="Arial" w:hAnsi="Arial"/>
                <w:sz w:val="18"/>
                <w:szCs w:val="18"/>
                <w:b w:val="1"/>
                <w:bCs w:val="1"/>
                <w:color w:val="auto"/>
              </w:rPr>
              <w:t>QoQ</w:t>
            </w:r>
          </w:p>
        </w:tc>
        <w:tc>
          <w:tcPr>
            <w:tcW w:w="940" w:type="dxa"/>
            <w:vAlign w:val="bottom"/>
            <w:tcBorders>
              <w:right w:val="single" w:sz="8" w:color="auto"/>
            </w:tcBorders>
          </w:tcPr>
          <w:p>
            <w:pPr>
              <w:jc w:val="right"/>
              <w:ind w:right="210"/>
              <w:spacing w:after="0" w:line="173" w:lineRule="exact"/>
              <w:rPr>
                <w:sz w:val="20"/>
                <w:szCs w:val="20"/>
                <w:color w:val="auto"/>
              </w:rPr>
            </w:pPr>
            <w:r>
              <w:rPr>
                <w:rFonts w:ascii="Arial" w:cs="Arial" w:eastAsia="Arial" w:hAnsi="Arial"/>
                <w:sz w:val="18"/>
                <w:szCs w:val="18"/>
                <w:b w:val="1"/>
                <w:bCs w:val="1"/>
                <w:color w:val="auto"/>
              </w:rPr>
              <w:t>YoY</w:t>
            </w:r>
          </w:p>
        </w:tc>
      </w:tr>
      <w:tr>
        <w:trPr>
          <w:trHeight w:val="225"/>
        </w:trPr>
        <w:tc>
          <w:tcPr>
            <w:tcW w:w="60" w:type="dxa"/>
            <w:vAlign w:val="bottom"/>
          </w:tcPr>
          <w:p>
            <w:pPr>
              <w:spacing w:after="0"/>
              <w:rPr>
                <w:sz w:val="19"/>
                <w:szCs w:val="19"/>
                <w:color w:val="auto"/>
              </w:rPr>
            </w:pPr>
          </w:p>
        </w:tc>
        <w:tc>
          <w:tcPr>
            <w:tcW w:w="1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 $ mm)</w:t>
            </w:r>
          </w:p>
        </w:tc>
        <w:tc>
          <w:tcPr>
            <w:tcW w:w="15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ADV</w:t>
            </w:r>
          </w:p>
        </w:tc>
        <w:tc>
          <w:tcPr>
            <w:tcW w:w="104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8"/>
              </w:rPr>
              <w:t>Volume</w:t>
            </w: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ADV</w:t>
            </w:r>
          </w:p>
        </w:tc>
        <w:tc>
          <w:tcPr>
            <w:tcW w:w="1420" w:type="dxa"/>
            <w:vAlign w:val="bottom"/>
            <w:tcBorders>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Volume</w:t>
            </w: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ADV</w:t>
            </w:r>
          </w:p>
        </w:tc>
        <w:tc>
          <w:tcPr>
            <w:tcW w:w="118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Volume</w:t>
            </w:r>
          </w:p>
        </w:tc>
        <w:tc>
          <w:tcPr>
            <w:tcW w:w="108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ADV</w:t>
            </w:r>
          </w:p>
        </w:tc>
        <w:tc>
          <w:tcPr>
            <w:tcW w:w="940" w:type="dxa"/>
            <w:vAlign w:val="bottom"/>
            <w:tcBorders>
              <w:bottom w:val="single" w:sz="8" w:color="auto"/>
              <w:right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ADV</w:t>
            </w:r>
          </w:p>
        </w:tc>
      </w:tr>
      <w:tr>
        <w:trPr>
          <w:trHeight w:val="196"/>
        </w:trPr>
        <w:tc>
          <w:tcPr>
            <w:tcW w:w="60" w:type="dxa"/>
            <w:vAlign w:val="bottom"/>
            <w:tcBorders>
              <w:right w:val="single" w:sz="8" w:color="auto"/>
            </w:tcBorders>
          </w:tcPr>
          <w:p>
            <w:pPr>
              <w:spacing w:after="0"/>
              <w:rPr>
                <w:sz w:val="17"/>
                <w:szCs w:val="17"/>
                <w:color w:val="auto"/>
              </w:rPr>
            </w:pPr>
          </w:p>
        </w:tc>
        <w:tc>
          <w:tcPr>
            <w:tcW w:w="1660" w:type="dxa"/>
            <w:vAlign w:val="bottom"/>
            <w:tcBorders>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Rates</w:t>
            </w:r>
          </w:p>
        </w:tc>
        <w:tc>
          <w:tcPr>
            <w:tcW w:w="15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431,380</w:t>
            </w:r>
          </w:p>
        </w:tc>
        <w:tc>
          <w:tcPr>
            <w:tcW w:w="10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26,453,386</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380,294</w:t>
            </w:r>
          </w:p>
        </w:tc>
        <w:tc>
          <w:tcPr>
            <w:tcW w:w="14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23,523,246</w:t>
            </w:r>
          </w:p>
        </w:tc>
        <w:tc>
          <w:tcPr>
            <w:tcW w:w="11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344,740</w:t>
            </w:r>
          </w:p>
        </w:tc>
        <w:tc>
          <w:tcPr>
            <w:tcW w:w="11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21,142,985</w:t>
            </w:r>
          </w:p>
        </w:tc>
        <w:tc>
          <w:tcPr>
            <w:tcW w:w="10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13.4%</w:t>
            </w:r>
          </w:p>
        </w:tc>
        <w:tc>
          <w:tcPr>
            <w:tcW w:w="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25.1%</w:t>
            </w:r>
          </w:p>
        </w:tc>
      </w:tr>
      <w:tr>
        <w:trPr>
          <w:trHeight w:val="196"/>
        </w:trPr>
        <w:tc>
          <w:tcPr>
            <w:tcW w:w="60" w:type="dxa"/>
            <w:vAlign w:val="bottom"/>
            <w:tcBorders>
              <w:right w:val="single" w:sz="8" w:color="auto"/>
            </w:tcBorders>
          </w:tcPr>
          <w:p>
            <w:pPr>
              <w:spacing w:after="0"/>
              <w:rPr>
                <w:sz w:val="17"/>
                <w:szCs w:val="17"/>
                <w:color w:val="auto"/>
              </w:rPr>
            </w:pPr>
          </w:p>
        </w:tc>
        <w:tc>
          <w:tcPr>
            <w:tcW w:w="1660" w:type="dxa"/>
            <w:vAlign w:val="bottom"/>
            <w:tcBorders>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Credit</w:t>
            </w:r>
          </w:p>
        </w:tc>
        <w:tc>
          <w:tcPr>
            <w:tcW w:w="15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16,383</w:t>
            </w:r>
          </w:p>
        </w:tc>
        <w:tc>
          <w:tcPr>
            <w:tcW w:w="10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1,009,820</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12,034</w:t>
            </w:r>
          </w:p>
        </w:tc>
        <w:tc>
          <w:tcPr>
            <w:tcW w:w="14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752,384</w:t>
            </w:r>
          </w:p>
        </w:tc>
        <w:tc>
          <w:tcPr>
            <w:tcW w:w="11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14,999</w:t>
            </w:r>
          </w:p>
        </w:tc>
        <w:tc>
          <w:tcPr>
            <w:tcW w:w="11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926,776</w:t>
            </w:r>
          </w:p>
        </w:tc>
        <w:tc>
          <w:tcPr>
            <w:tcW w:w="10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36.1%</w:t>
            </w:r>
          </w:p>
        </w:tc>
        <w:tc>
          <w:tcPr>
            <w:tcW w:w="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9.2%</w:t>
            </w:r>
          </w:p>
        </w:tc>
      </w:tr>
      <w:tr>
        <w:trPr>
          <w:trHeight w:val="196"/>
        </w:trPr>
        <w:tc>
          <w:tcPr>
            <w:tcW w:w="60" w:type="dxa"/>
            <w:vAlign w:val="bottom"/>
            <w:tcBorders>
              <w:right w:val="single" w:sz="8" w:color="auto"/>
            </w:tcBorders>
          </w:tcPr>
          <w:p>
            <w:pPr>
              <w:spacing w:after="0"/>
              <w:rPr>
                <w:sz w:val="17"/>
                <w:szCs w:val="17"/>
                <w:color w:val="auto"/>
              </w:rPr>
            </w:pPr>
          </w:p>
        </w:tc>
        <w:tc>
          <w:tcPr>
            <w:tcW w:w="1660" w:type="dxa"/>
            <w:vAlign w:val="bottom"/>
            <w:tcBorders>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Equities</w:t>
            </w:r>
          </w:p>
        </w:tc>
        <w:tc>
          <w:tcPr>
            <w:tcW w:w="15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7,702</w:t>
            </w:r>
          </w:p>
        </w:tc>
        <w:tc>
          <w:tcPr>
            <w:tcW w:w="10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475,731</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8,544</w:t>
            </w:r>
          </w:p>
        </w:tc>
        <w:tc>
          <w:tcPr>
            <w:tcW w:w="14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542,944</w:t>
            </w:r>
          </w:p>
        </w:tc>
        <w:tc>
          <w:tcPr>
            <w:tcW w:w="11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9,977</w:t>
            </w:r>
          </w:p>
        </w:tc>
        <w:tc>
          <w:tcPr>
            <w:tcW w:w="11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612,528</w:t>
            </w:r>
          </w:p>
        </w:tc>
        <w:tc>
          <w:tcPr>
            <w:tcW w:w="10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(9.9%)</w:t>
            </w:r>
          </w:p>
        </w:tc>
        <w:tc>
          <w:tcPr>
            <w:tcW w:w="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(22.8%)</w:t>
            </w:r>
          </w:p>
        </w:tc>
      </w:tr>
      <w:tr>
        <w:trPr>
          <w:trHeight w:val="196"/>
        </w:trPr>
        <w:tc>
          <w:tcPr>
            <w:tcW w:w="60" w:type="dxa"/>
            <w:vAlign w:val="bottom"/>
            <w:tcBorders>
              <w:right w:val="single" w:sz="8" w:color="auto"/>
            </w:tcBorders>
          </w:tcPr>
          <w:p>
            <w:pPr>
              <w:spacing w:after="0"/>
              <w:rPr>
                <w:sz w:val="17"/>
                <w:szCs w:val="17"/>
                <w:color w:val="auto"/>
              </w:rPr>
            </w:pPr>
          </w:p>
        </w:tc>
        <w:tc>
          <w:tcPr>
            <w:tcW w:w="1660" w:type="dxa"/>
            <w:vAlign w:val="bottom"/>
            <w:tcBorders>
              <w:bottom w:val="single" w:sz="8" w:color="auto"/>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Money Markets</w:t>
            </w:r>
          </w:p>
        </w:tc>
        <w:tc>
          <w:tcPr>
            <w:tcW w:w="15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191,123</w:t>
            </w:r>
          </w:p>
        </w:tc>
        <w:tc>
          <w:tcPr>
            <w:tcW w:w="10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11,771,688</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188,938</w:t>
            </w:r>
          </w:p>
        </w:tc>
        <w:tc>
          <w:tcPr>
            <w:tcW w:w="14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11,689,227</w:t>
            </w:r>
          </w:p>
        </w:tc>
        <w:tc>
          <w:tcPr>
            <w:tcW w:w="11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164,517</w:t>
            </w:r>
          </w:p>
        </w:tc>
        <w:tc>
          <w:tcPr>
            <w:tcW w:w="11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10,071,040</w:t>
            </w:r>
          </w:p>
        </w:tc>
        <w:tc>
          <w:tcPr>
            <w:tcW w:w="10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1.2%</w:t>
            </w:r>
          </w:p>
        </w:tc>
        <w:tc>
          <w:tcPr>
            <w:tcW w:w="9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16.2%</w:t>
            </w:r>
          </w:p>
        </w:tc>
      </w:tr>
    </w:tbl>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1Q19</w:t>
            </w:r>
          </w:p>
        </w:tc>
        <w:tc>
          <w:tcPr>
            <w:tcW w:w="5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60" w:type="dxa"/>
            <w:vAlign w:val="bottom"/>
            <w:tcBorders>
              <w:top w:val="single" w:sz="8" w:color="auto"/>
              <w:right w:val="single" w:sz="8" w:color="auto"/>
            </w:tcBorders>
          </w:tcPr>
          <w:p>
            <w:pPr>
              <w:spacing w:after="0"/>
              <w:rPr>
                <w:sz w:val="16"/>
                <w:szCs w:val="16"/>
                <w:color w:val="auto"/>
              </w:rPr>
            </w:pPr>
          </w:p>
        </w:tc>
        <w:tc>
          <w:tcPr>
            <w:tcW w:w="2400" w:type="dxa"/>
            <w:vAlign w:val="bottom"/>
            <w:tcBorders>
              <w:top w:val="single" w:sz="8" w:color="auto"/>
              <w:right w:val="single" w:sz="8" w:color="auto"/>
            </w:tcBorders>
            <w:gridSpan w:val="3"/>
          </w:tcPr>
          <w:p>
            <w:pPr>
              <w:jc w:val="right"/>
              <w:ind w:right="910"/>
              <w:spacing w:after="0" w:line="194" w:lineRule="exact"/>
              <w:rPr>
                <w:sz w:val="20"/>
                <w:szCs w:val="20"/>
                <w:color w:val="auto"/>
              </w:rPr>
            </w:pPr>
            <w:r>
              <w:rPr>
                <w:rFonts w:ascii="Arial" w:cs="Arial" w:eastAsia="Arial" w:hAnsi="Arial"/>
                <w:sz w:val="18"/>
                <w:szCs w:val="18"/>
                <w:b w:val="1"/>
                <w:bCs w:val="1"/>
                <w:color w:val="auto"/>
              </w:rPr>
              <w:t>4Q18</w:t>
            </w:r>
          </w:p>
        </w:tc>
        <w:tc>
          <w:tcPr>
            <w:tcW w:w="2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960" w:type="dxa"/>
            <w:vAlign w:val="bottom"/>
            <w:tcBorders>
              <w:top w:val="single" w:sz="8" w:color="auto"/>
              <w:right w:val="single" w:sz="8" w:color="auto"/>
            </w:tcBorders>
            <w:gridSpan w:val="3"/>
          </w:tcPr>
          <w:p>
            <w:pPr>
              <w:jc w:val="center"/>
              <w:ind w:right="400"/>
              <w:spacing w:after="0" w:line="194" w:lineRule="exact"/>
              <w:rPr>
                <w:sz w:val="20"/>
                <w:szCs w:val="20"/>
                <w:color w:val="auto"/>
              </w:rPr>
            </w:pPr>
            <w:r>
              <w:rPr>
                <w:rFonts w:ascii="Arial" w:cs="Arial" w:eastAsia="Arial" w:hAnsi="Arial"/>
                <w:sz w:val="18"/>
                <w:szCs w:val="18"/>
                <w:b w:val="1"/>
                <w:bCs w:val="1"/>
                <w:color w:val="auto"/>
                <w:w w:val="99"/>
              </w:rPr>
              <w:t>1Q18</w:t>
            </w:r>
          </w:p>
        </w:tc>
        <w:tc>
          <w:tcPr>
            <w:tcW w:w="1080" w:type="dxa"/>
            <w:vAlign w:val="bottom"/>
            <w:tcBorders>
              <w:top w:val="single" w:sz="8" w:color="auto"/>
              <w:right w:val="single" w:sz="8" w:color="auto"/>
            </w:tcBorders>
          </w:tcPr>
          <w:p>
            <w:pPr>
              <w:ind w:left="320"/>
              <w:spacing w:after="0" w:line="194" w:lineRule="exact"/>
              <w:rPr>
                <w:sz w:val="20"/>
                <w:szCs w:val="20"/>
                <w:color w:val="auto"/>
              </w:rPr>
            </w:pPr>
            <w:r>
              <w:rPr>
                <w:rFonts w:ascii="Arial" w:cs="Arial" w:eastAsia="Arial" w:hAnsi="Arial"/>
                <w:sz w:val="18"/>
                <w:szCs w:val="18"/>
                <w:b w:val="1"/>
                <w:bCs w:val="1"/>
                <w:color w:val="auto"/>
              </w:rPr>
              <w:t>QoQ</w:t>
            </w: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right w:val="single" w:sz="8" w:color="auto"/>
            </w:tcBorders>
          </w:tcPr>
          <w:p>
            <w:pPr>
              <w:ind w:left="80"/>
              <w:spacing w:after="0" w:line="194" w:lineRule="exact"/>
              <w:rPr>
                <w:sz w:val="20"/>
                <w:szCs w:val="20"/>
                <w:color w:val="auto"/>
              </w:rPr>
            </w:pPr>
            <w:r>
              <w:rPr>
                <w:rFonts w:ascii="Arial" w:cs="Arial" w:eastAsia="Arial" w:hAnsi="Arial"/>
                <w:sz w:val="18"/>
                <w:szCs w:val="18"/>
                <w:b w:val="1"/>
                <w:bCs w:val="1"/>
                <w:color w:val="auto"/>
              </w:rPr>
              <w:t>YoY</w:t>
            </w:r>
          </w:p>
        </w:tc>
        <w:tc>
          <w:tcPr>
            <w:tcW w:w="460" w:type="dxa"/>
            <w:vAlign w:val="bottom"/>
          </w:tcPr>
          <w:p>
            <w:pPr>
              <w:spacing w:after="0"/>
              <w:rPr>
                <w:sz w:val="16"/>
                <w:szCs w:val="16"/>
                <w:color w:val="auto"/>
              </w:rPr>
            </w:pPr>
          </w:p>
        </w:tc>
      </w:tr>
      <w:tr>
        <w:trPr>
          <w:trHeight w:val="225"/>
        </w:trPr>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650"/>
              <w:spacing w:after="0"/>
              <w:rPr>
                <w:sz w:val="20"/>
                <w:szCs w:val="20"/>
                <w:color w:val="auto"/>
              </w:rPr>
            </w:pPr>
            <w:r>
              <w:rPr>
                <w:rFonts w:ascii="Arial" w:cs="Arial" w:eastAsia="Arial" w:hAnsi="Arial"/>
                <w:sz w:val="18"/>
                <w:szCs w:val="18"/>
                <w:b w:val="1"/>
                <w:bCs w:val="1"/>
                <w:color w:val="auto"/>
              </w:rPr>
              <w:t>ADV</w:t>
            </w:r>
          </w:p>
        </w:tc>
        <w:tc>
          <w:tcPr>
            <w:tcW w:w="7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8"/>
              </w:rPr>
              <w:t>Volume</w:t>
            </w:r>
          </w:p>
        </w:tc>
        <w:tc>
          <w:tcPr>
            <w:tcW w:w="36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ADV</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5"/>
              </w:rPr>
              <w:t>Volume</w:t>
            </w: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ADV</w:t>
            </w:r>
          </w:p>
        </w:tc>
        <w:tc>
          <w:tcPr>
            <w:tcW w:w="1360" w:type="dxa"/>
            <w:vAlign w:val="bottom"/>
            <w:tcBorders>
              <w:bottom w:val="single" w:sz="8" w:color="auto"/>
              <w:right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Volume</w:t>
            </w:r>
          </w:p>
        </w:tc>
        <w:tc>
          <w:tcPr>
            <w:tcW w:w="108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b w:val="1"/>
                <w:bCs w:val="1"/>
                <w:color w:val="auto"/>
              </w:rPr>
              <w:t>ADV</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ADV</w:t>
            </w:r>
          </w:p>
        </w:tc>
        <w:tc>
          <w:tcPr>
            <w:tcW w:w="460" w:type="dxa"/>
            <w:vAlign w:val="bottom"/>
          </w:tcPr>
          <w:p>
            <w:pPr>
              <w:spacing w:after="0"/>
              <w:rPr>
                <w:sz w:val="19"/>
                <w:szCs w:val="19"/>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660" w:type="dxa"/>
            <w:vAlign w:val="bottom"/>
            <w:tcBorders>
              <w:bottom w:val="single" w:sz="8" w:color="auto"/>
              <w:right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gridSpan w:val="2"/>
          </w:tcPr>
          <w:p>
            <w:pPr>
              <w:jc w:val="right"/>
              <w:ind w:right="250"/>
              <w:spacing w:after="0" w:line="196" w:lineRule="exact"/>
              <w:rPr>
                <w:sz w:val="20"/>
                <w:szCs w:val="20"/>
                <w:color w:val="auto"/>
              </w:rPr>
            </w:pPr>
            <w:r>
              <w:rPr>
                <w:rFonts w:ascii="Arial" w:cs="Arial" w:eastAsia="Arial" w:hAnsi="Arial"/>
                <w:sz w:val="18"/>
                <w:szCs w:val="18"/>
                <w:color w:val="auto"/>
              </w:rPr>
              <w:t>646,587</w:t>
            </w:r>
          </w:p>
        </w:tc>
        <w:tc>
          <w:tcPr>
            <w:tcW w:w="1060" w:type="dxa"/>
            <w:vAlign w:val="bottom"/>
            <w:tcBorders>
              <w:bottom w:val="single" w:sz="8" w:color="auto"/>
              <w:right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39,710,625</w:t>
            </w:r>
          </w:p>
        </w:tc>
        <w:tc>
          <w:tcPr>
            <w:tcW w:w="11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589,810</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36,507,801</w:t>
            </w: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ind w:left="20"/>
              <w:spacing w:after="0" w:line="196" w:lineRule="exact"/>
              <w:rPr>
                <w:sz w:val="20"/>
                <w:szCs w:val="20"/>
                <w:color w:val="auto"/>
              </w:rPr>
            </w:pPr>
            <w:r>
              <w:rPr>
                <w:rFonts w:ascii="Arial" w:cs="Arial" w:eastAsia="Arial" w:hAnsi="Arial"/>
                <w:sz w:val="18"/>
                <w:szCs w:val="18"/>
                <w:color w:val="auto"/>
                <w:w w:val="95"/>
              </w:rPr>
              <w:t>534,232</w:t>
            </w:r>
          </w:p>
        </w:tc>
        <w:tc>
          <w:tcPr>
            <w:tcW w:w="1360" w:type="dxa"/>
            <w:vAlign w:val="bottom"/>
            <w:tcBorders>
              <w:bottom w:val="single" w:sz="8" w:color="auto"/>
              <w:right w:val="single" w:sz="8" w:color="auto"/>
            </w:tcBorders>
            <w:gridSpan w:val="2"/>
          </w:tcPr>
          <w:p>
            <w:pPr>
              <w:jc w:val="right"/>
              <w:ind w:right="40"/>
              <w:spacing w:after="0" w:line="196" w:lineRule="exact"/>
              <w:rPr>
                <w:sz w:val="20"/>
                <w:szCs w:val="20"/>
                <w:color w:val="auto"/>
              </w:rPr>
            </w:pPr>
            <w:r>
              <w:rPr>
                <w:rFonts w:ascii="Arial" w:cs="Arial" w:eastAsia="Arial" w:hAnsi="Arial"/>
                <w:sz w:val="18"/>
                <w:szCs w:val="18"/>
                <w:color w:val="auto"/>
              </w:rPr>
              <w:t>32,753,329</w:t>
            </w:r>
          </w:p>
        </w:tc>
        <w:tc>
          <w:tcPr>
            <w:tcW w:w="108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9.6%</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21.0%</w:t>
            </w:r>
          </w:p>
        </w:tc>
        <w:tc>
          <w:tcPr>
            <w:tcW w:w="460" w:type="dxa"/>
            <w:vAlign w:val="bottom"/>
          </w:tcPr>
          <w:p>
            <w:pPr>
              <w:spacing w:after="0"/>
              <w:rPr>
                <w:sz w:val="17"/>
                <w:szCs w:val="17"/>
                <w:color w:val="auto"/>
              </w:rPr>
            </w:pPr>
          </w:p>
        </w:tc>
      </w:tr>
      <w:tr>
        <w:trPr>
          <w:trHeight w:val="520"/>
        </w:trPr>
        <w:tc>
          <w:tcPr>
            <w:tcW w:w="5640" w:type="dxa"/>
            <w:vAlign w:val="bottom"/>
            <w:gridSpan w:val="10"/>
          </w:tcPr>
          <w:p>
            <w:pPr>
              <w:jc w:val="right"/>
              <w:spacing w:after="0"/>
              <w:rPr>
                <w:sz w:val="20"/>
                <w:szCs w:val="20"/>
                <w:color w:val="auto"/>
              </w:rPr>
            </w:pPr>
            <w:r>
              <w:rPr>
                <w:rFonts w:ascii="Arial" w:cs="Arial" w:eastAsia="Arial" w:hAnsi="Arial"/>
                <w:sz w:val="18"/>
                <w:szCs w:val="18"/>
                <w:b w:val="1"/>
                <w:bCs w:val="1"/>
                <w:color w:val="auto"/>
                <w:w w:val="99"/>
              </w:rPr>
              <w:t>AVERAGE VARIABLE FEES PER MILLION DOLLARS OF VOLUME</w:t>
            </w: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3"/>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195"/>
        </w:trPr>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tcBorders>
              <w:right w:val="single" w:sz="8" w:color="auto"/>
            </w:tcBorders>
          </w:tcPr>
          <w:p>
            <w:pPr>
              <w:jc w:val="center"/>
              <w:ind w:right="510"/>
              <w:spacing w:after="0" w:line="195" w:lineRule="exact"/>
              <w:rPr>
                <w:sz w:val="20"/>
                <w:szCs w:val="20"/>
                <w:color w:val="auto"/>
              </w:rPr>
            </w:pPr>
            <w:r>
              <w:rPr>
                <w:rFonts w:ascii="Arial" w:cs="Arial" w:eastAsia="Arial" w:hAnsi="Arial"/>
                <w:sz w:val="18"/>
                <w:szCs w:val="18"/>
                <w:color w:val="auto"/>
                <w:w w:val="99"/>
              </w:rPr>
              <w:t>QoQ</w:t>
            </w:r>
          </w:p>
        </w:tc>
        <w:tc>
          <w:tcPr>
            <w:tcW w:w="340" w:type="dxa"/>
            <w:vAlign w:val="bottom"/>
          </w:tcPr>
          <w:p>
            <w:pPr>
              <w:spacing w:after="0"/>
              <w:rPr>
                <w:sz w:val="16"/>
                <w:szCs w:val="16"/>
                <w:color w:val="auto"/>
              </w:rPr>
            </w:pPr>
          </w:p>
        </w:tc>
        <w:tc>
          <w:tcPr>
            <w:tcW w:w="1280" w:type="dxa"/>
            <w:vAlign w:val="bottom"/>
            <w:tcBorders>
              <w:right w:val="single" w:sz="8" w:color="auto"/>
            </w:tcBorders>
            <w:gridSpan w:val="2"/>
          </w:tcPr>
          <w:p>
            <w:pPr>
              <w:ind w:left="300"/>
              <w:spacing w:after="0" w:line="195" w:lineRule="exact"/>
              <w:rPr>
                <w:sz w:val="20"/>
                <w:szCs w:val="20"/>
                <w:color w:val="auto"/>
              </w:rPr>
            </w:pPr>
            <w:r>
              <w:rPr>
                <w:rFonts w:ascii="Arial" w:cs="Arial" w:eastAsia="Arial" w:hAnsi="Arial"/>
                <w:sz w:val="18"/>
                <w:szCs w:val="18"/>
                <w:color w:val="auto"/>
              </w:rPr>
              <w:t>YoY</w:t>
            </w: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97"/>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1Q19</w:t>
            </w:r>
          </w:p>
        </w:tc>
        <w:tc>
          <w:tcPr>
            <w:tcW w:w="560" w:type="dxa"/>
            <w:vAlign w:val="bottom"/>
            <w:tcBorders>
              <w:bottom w:val="single" w:sz="8" w:color="auto"/>
              <w:right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jc w:val="right"/>
              <w:ind w:right="530"/>
              <w:spacing w:after="0" w:line="197" w:lineRule="exact"/>
              <w:rPr>
                <w:sz w:val="20"/>
                <w:szCs w:val="20"/>
                <w:color w:val="auto"/>
              </w:rPr>
            </w:pPr>
            <w:r>
              <w:rPr>
                <w:rFonts w:ascii="Arial" w:cs="Arial" w:eastAsia="Arial" w:hAnsi="Arial"/>
                <w:sz w:val="18"/>
                <w:szCs w:val="18"/>
                <w:color w:val="auto"/>
              </w:rPr>
              <w:t>4Q18</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right"/>
              <w:ind w:right="540"/>
              <w:spacing w:after="0" w:line="197" w:lineRule="exact"/>
              <w:rPr>
                <w:sz w:val="20"/>
                <w:szCs w:val="20"/>
                <w:color w:val="auto"/>
              </w:rPr>
            </w:pPr>
            <w:r>
              <w:rPr>
                <w:rFonts w:ascii="Arial" w:cs="Arial" w:eastAsia="Arial" w:hAnsi="Arial"/>
                <w:sz w:val="18"/>
                <w:szCs w:val="18"/>
                <w:color w:val="auto"/>
              </w:rPr>
              <w:t>1Q18</w:t>
            </w:r>
          </w:p>
        </w:tc>
        <w:tc>
          <w:tcPr>
            <w:tcW w:w="6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right w:val="single" w:sz="8" w:color="auto"/>
            </w:tcBorders>
            <w:gridSpan w:val="2"/>
          </w:tcPr>
          <w:p>
            <w:pPr>
              <w:jc w:val="center"/>
              <w:spacing w:after="0" w:line="197" w:lineRule="exact"/>
              <w:rPr>
                <w:sz w:val="20"/>
                <w:szCs w:val="20"/>
                <w:color w:val="auto"/>
              </w:rPr>
            </w:pPr>
            <w:r>
              <w:rPr>
                <w:rFonts w:ascii="Arial" w:cs="Arial" w:eastAsia="Arial" w:hAnsi="Arial"/>
                <w:sz w:val="18"/>
                <w:szCs w:val="18"/>
                <w:color w:val="auto"/>
                <w:w w:val="99"/>
              </w:rPr>
              <w:t>% Change</w:t>
            </w: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right w:val="single" w:sz="8" w:color="auto"/>
            </w:tcBorders>
            <w:gridSpan w:val="2"/>
          </w:tcPr>
          <w:p>
            <w:pPr>
              <w:jc w:val="right"/>
              <w:ind w:right="400"/>
              <w:spacing w:after="0" w:line="197" w:lineRule="exact"/>
              <w:rPr>
                <w:sz w:val="20"/>
                <w:szCs w:val="20"/>
                <w:color w:val="auto"/>
              </w:rPr>
            </w:pPr>
            <w:r>
              <w:rPr>
                <w:rFonts w:ascii="Arial" w:cs="Arial" w:eastAsia="Arial" w:hAnsi="Arial"/>
                <w:sz w:val="18"/>
                <w:szCs w:val="18"/>
                <w:color w:val="auto"/>
              </w:rPr>
              <w:t>% Change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162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Rates</w:t>
            </w:r>
          </w:p>
        </w:tc>
        <w:tc>
          <w:tcPr>
            <w:tcW w:w="4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right"/>
              <w:ind w:right="750"/>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2.02</w:t>
            </w:r>
          </w:p>
        </w:tc>
        <w:tc>
          <w:tcPr>
            <w:tcW w:w="1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2.03</w:t>
            </w: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2.13</w:t>
            </w:r>
          </w:p>
        </w:tc>
        <w:tc>
          <w:tcPr>
            <w:tcW w:w="60" w:type="dxa"/>
            <w:vAlign w:val="bottom"/>
            <w:tcBorders>
              <w:bottom w:val="single" w:sz="8" w:color="auto"/>
              <w:right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(1%)</w:t>
            </w: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right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(5%)</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162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Credit</w:t>
            </w:r>
          </w:p>
        </w:tc>
        <w:tc>
          <w:tcPr>
            <w:tcW w:w="4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right"/>
              <w:ind w:right="750"/>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34.03</w:t>
            </w:r>
          </w:p>
        </w:tc>
        <w:tc>
          <w:tcPr>
            <w:tcW w:w="1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42.50</w:t>
            </w: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32.03</w:t>
            </w:r>
          </w:p>
        </w:tc>
        <w:tc>
          <w:tcPr>
            <w:tcW w:w="60" w:type="dxa"/>
            <w:vAlign w:val="bottom"/>
            <w:tcBorders>
              <w:bottom w:val="single" w:sz="8" w:color="auto"/>
              <w:right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(20%)</w:t>
            </w: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right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6%</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162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Equities</w:t>
            </w:r>
          </w:p>
        </w:tc>
        <w:tc>
          <w:tcPr>
            <w:tcW w:w="4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right"/>
              <w:ind w:right="750"/>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21.36</w:t>
            </w:r>
          </w:p>
        </w:tc>
        <w:tc>
          <w:tcPr>
            <w:tcW w:w="1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20.17</w:t>
            </w: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13.91</w:t>
            </w:r>
          </w:p>
        </w:tc>
        <w:tc>
          <w:tcPr>
            <w:tcW w:w="60" w:type="dxa"/>
            <w:vAlign w:val="bottom"/>
            <w:tcBorders>
              <w:bottom w:val="single" w:sz="8" w:color="auto"/>
              <w:right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6%</w:t>
            </w: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right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53%</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162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Money Markets</w:t>
            </w:r>
          </w:p>
        </w:tc>
        <w:tc>
          <w:tcPr>
            <w:tcW w:w="4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right"/>
              <w:ind w:right="750"/>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0.49</w:t>
            </w:r>
          </w:p>
        </w:tc>
        <w:tc>
          <w:tcPr>
            <w:tcW w:w="1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0.52</w:t>
            </w: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0.47</w:t>
            </w:r>
          </w:p>
        </w:tc>
        <w:tc>
          <w:tcPr>
            <w:tcW w:w="60" w:type="dxa"/>
            <w:vAlign w:val="bottom"/>
            <w:tcBorders>
              <w:bottom w:val="single" w:sz="8" w:color="auto"/>
              <w:right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(4%)</w:t>
            </w: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right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6%</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162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Total FPM</w:t>
            </w:r>
          </w:p>
        </w:tc>
        <w:tc>
          <w:tcPr>
            <w:tcW w:w="42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tcBorders>
          </w:tcPr>
          <w:p>
            <w:pPr>
              <w:jc w:val="right"/>
              <w:ind w:right="750"/>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2.62</w:t>
            </w:r>
          </w:p>
        </w:tc>
        <w:tc>
          <w:tcPr>
            <w:tcW w:w="1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2.65</w:t>
            </w: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2.69</w:t>
            </w:r>
          </w:p>
        </w:tc>
        <w:tc>
          <w:tcPr>
            <w:tcW w:w="60" w:type="dxa"/>
            <w:vAlign w:val="bottom"/>
            <w:tcBorders>
              <w:bottom w:val="single" w:sz="8" w:color="auto"/>
              <w:right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jc w:val="right"/>
              <w:spacing w:after="0" w:line="196" w:lineRule="exact"/>
              <w:rPr>
                <w:sz w:val="20"/>
                <w:szCs w:val="20"/>
                <w:color w:val="auto"/>
              </w:rPr>
            </w:pPr>
            <w:r>
              <w:rPr>
                <w:rFonts w:ascii="Arial" w:cs="Arial" w:eastAsia="Arial" w:hAnsi="Arial"/>
                <w:sz w:val="18"/>
                <w:szCs w:val="18"/>
                <w:color w:val="auto"/>
              </w:rPr>
              <w:t>(2%)</w:t>
            </w: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right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(3%)</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341"/>
        </w:trPr>
        <w:tc>
          <w:tcPr>
            <w:tcW w:w="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03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bullet"/>
      <w:start w:val="1"/>
    </w:lvl>
  </w:abstractNum>
  <w:abstractNum w:abstractNumId="3">
    <w:nsid w:val="41B71EFB"/>
    <w:multiLevelType w:val="hybridMultilevel"/>
    <w:lvl w:ilvl="0">
      <w:lvlJc w:val="left"/>
      <w:lvlText w:val="1"/>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bullet"/>
      <w:start w:val="1"/>
    </w:lvl>
  </w:abstractNum>
  <w:abstractNum w:abstractNumId="8">
    <w:nsid w:val="12200854"/>
    <w:multiLevelType w:val="hybridMultilevel"/>
    <w:lvl w:ilvl="0">
      <w:lvlJc w:val="left"/>
      <w:lvlText w:val="1"/>
      <w:numFmt w:val="bullet"/>
      <w:start w:val="1"/>
    </w:lvl>
  </w:abstractNum>
  <w:abstractNum w:abstractNumId="9">
    <w:nsid w:val="4DB127F8"/>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2019-12-28T12:11:41Z</dcterms:created>
  <dcterms:modified xsi:type="dcterms:W3CDTF">2019-12-28T12:11:41Z</dcterms:modified>
</cp:coreProperties>
</file>