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56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3"/>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03/17/2026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1,241</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126.17</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61,726</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03/17/2026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19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61,729</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03/18/2026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3,212</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124.7558</w:t>
            </w:r>
            <w:r>
              <w:rPr>
                <w:rFonts w:ascii="Times New Roman" w:cs="Times New Roman" w:eastAsia="Times New Roman" w:hAnsi="Times New Roman"/>
                <w:sz w:val="22"/>
                <w:szCs w:val="22"/>
                <w:color w:val="008000"/>
                <w:w w:val="95"/>
                <w:vertAlign w:val="superscript"/>
              </w:rPr>
              <w:t>(5)</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58,517</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2,548 unvested RSUs in respect of Class A Common Stock that are scheduled to vest on March 15, 2027, (ii) 4,485 unvested RSUs in respect of Class A Common Stock that are scheduled to vest in equal installments on March 17, 2027 and March 17, 2028 and (iii) 8,037 unvested RSUs in respect of Class A Common Stock that are scheduled to vest in equal installments on March 15, 2027, March 15, 2028 and March 15, 2029,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$123.32 to $125.86,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03/19/2026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2026-03-19T15:18:55Z</dcterms:created>
  <dcterms:modified xsi:type="dcterms:W3CDTF">2026-03-19T15:18:55Z</dcterms:modified>
</cp:coreProperties>
</file>