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4319022.xml.htm"/>
      <w:bookmarkStart w:id="1" w:name="kswkform4_17043190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Peterson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892"/>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6,619</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89.27</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44,141</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w:t>
            </w:r>
            <w:r>
              <w:rPr>
                <w:rFonts w:ascii="Times;serif" w:hAnsi="Times;serif"/>
                <w:color w:val="008000"/>
                <w:position w:val="7"/>
                <w:sz w:val="16"/>
                <w:sz w:val="20"/>
                <w:shd w:fill="FFFFFF" w:val="clear"/>
              </w:rPr>
              <w:t>(3)</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44,215</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the tax withholding obligation associated with the settlement of restricted stock units ("RSUs") in respect of the issuer's Class A common stock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3,371 RSUs in respect of Class A Common Stock which are scheduled to vest on March 15, 2024, (ii) 6,409 RSUs in respect of Class A Common Stock which are scheduled to vest in equal installments on March 15, 2024 and March 15, 2025, (iii) 12,419 unvested RSUs in respect of Class A Common Stock that are scheduled to vest on January 1, 2025, and (iv) 13,729 unvested RSUs in respect of Class A Common Stock which are scheduled to vest in equal installments on March 15, 2024, March 15, 2025 and March 15, 2026,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Justin Peterson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07231" TargetMode="External"/><Relationship Id="rId4" Type="http://schemas.openxmlformats.org/officeDocument/2006/relationships/hyperlink" Target="http://www.sec.gov/cgi-bin/browse-edgar?action=getcompany&amp;CIK=000175873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783</Words>
  <Characters>4157</Characters>
  <CharactersWithSpaces>4872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