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3"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1"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-234315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20" w:type="dxa"/>
            <w:vAlign w:val="bottom"/>
          </w:tcPr>
          <w:p>
            <w:pPr>
              <w:jc w:val="center"/>
              <w:ind w:right="15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20" w:type="dxa"/>
            <w:vAlign w:val="bottom"/>
            <w:tcBorders>
              <w:bottom w:val="single" w:sz="8" w:color="808080"/>
            </w:tcBorders>
          </w:tcPr>
          <w:p>
            <w:pPr>
              <w:spacing w:after="0"/>
              <w:rPr>
                <w:sz w:val="23"/>
                <w:szCs w:val="23"/>
                <w:color w:val="auto"/>
              </w:rPr>
            </w:pPr>
          </w:p>
        </w:tc>
        <w:tc>
          <w:tcPr>
            <w:tcW w:w="76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6"/>
        </w:trPr>
        <w:tc>
          <w:tcPr>
            <w:tcW w:w="632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6"/>
        </w:trPr>
        <w:tc>
          <w:tcPr>
            <w:tcW w:w="63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2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5316220</wp:posOffset>
            </wp:positionH>
            <wp:positionV relativeFrom="paragraph">
              <wp:posOffset>-607695</wp:posOffset>
            </wp:positionV>
            <wp:extent cx="8255" cy="608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8330"/>
                    </a:xfrm>
                    <a:prstGeom prst="rect">
                      <a:avLst/>
                    </a:prstGeom>
                    <a:noFill/>
                  </pic:spPr>
                </pic:pic>
              </a:graphicData>
            </a:graphic>
          </wp:anchor>
        </w:drawing>
        <w:drawing>
          <wp:anchor simplePos="0" relativeHeight="251657728" behindDoc="1" locked="0" layoutInCell="0" allowOverlap="1">
            <wp:simplePos x="0" y="0"/>
            <wp:positionH relativeFrom="column">
              <wp:posOffset>4009390</wp:posOffset>
            </wp:positionH>
            <wp:positionV relativeFrom="paragraph">
              <wp:posOffset>-615315</wp:posOffset>
            </wp:positionV>
            <wp:extent cx="8255" cy="6159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5950"/>
                    </a:xfrm>
                    <a:prstGeom prst="rect">
                      <a:avLst/>
                    </a:prstGeom>
                    <a:noFill/>
                  </pic:spPr>
                </pic:pic>
              </a:graphicData>
            </a:graphic>
          </wp:anchor>
        </w:drawing>
        <w:drawing>
          <wp:anchor simplePos="0" relativeHeight="251657728" behindDoc="1" locked="0" layoutInCell="0" allowOverlap="1">
            <wp:simplePos x="0" y="0"/>
            <wp:positionH relativeFrom="column">
              <wp:posOffset>4034155</wp:posOffset>
            </wp:positionH>
            <wp:positionV relativeFrom="paragraph">
              <wp:posOffset>-591185</wp:posOffset>
            </wp:positionV>
            <wp:extent cx="1265555" cy="567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5555" cy="56705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28575</wp:posOffset>
            </wp:positionV>
            <wp:extent cx="6967855" cy="17500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7855" cy="175006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60" w:space="280"/>
            <w:col w:w="8540"/>
          </w:cols>
          <w:pgMar w:left="460" w:top="222"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Friedman Douglas</w:t>
        </w:r>
      </w:hyperlink>
    </w:p>
    <w:p>
      <w:pPr>
        <w:spacing w:after="0" w:line="30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TRADEWEB MARKETS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1177 AVENUE OF THE AMERICAS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Tradeweb Markets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TW</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04/01/2020</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ind w:left="-2" w:right="620" w:firstLine="2"/>
        <w:spacing w:after="0" w:line="23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tbl>
      <w:tblPr>
        <w:tblLayout w:type="fixed"/>
        <w:tblInd w:w="198"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2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538"/>
        <w:spacing w:after="0"/>
        <w:rPr>
          <w:sz w:val="20"/>
          <w:szCs w:val="20"/>
          <w:color w:val="auto"/>
        </w:rPr>
      </w:pPr>
      <w:r>
        <w:rPr>
          <w:rFonts w:ascii="Arial" w:cs="Arial" w:eastAsia="Arial" w:hAnsi="Arial"/>
          <w:sz w:val="16"/>
          <w:szCs w:val="16"/>
          <w:color w:val="0000FF"/>
        </w:rPr>
        <w:t>General Counsel and Secretary</w:t>
      </w:r>
    </w:p>
    <w:p>
      <w:pPr>
        <w:spacing w:after="0" w:line="400" w:lineRule="exact"/>
        <w:rPr>
          <w:sz w:val="24"/>
          <w:szCs w:val="24"/>
          <w:color w:val="auto"/>
        </w:rPr>
      </w:pPr>
    </w:p>
    <w:p>
      <w:pPr>
        <w:sectPr>
          <w:pgSz w:w="11900" w:h="16838" w:orient="portrait"/>
          <w:cols w:equalWidth="0" w:num="3">
            <w:col w:w="3200" w:space="720"/>
            <w:col w:w="3102" w:space="720"/>
            <w:col w:w="3338"/>
          </w:cols>
          <w:pgMar w:left="460" w:top="222"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40" w:type="dxa"/>
            <w:vAlign w:val="bottom"/>
            <w:gridSpan w:val="7"/>
          </w:tcPr>
          <w:p>
            <w:pPr>
              <w:jc w:val="center"/>
              <w:ind w:left="1"/>
              <w:spacing w:after="0" w:line="143" w:lineRule="exact"/>
              <w:rPr>
                <w:sz w:val="20"/>
                <w:szCs w:val="20"/>
                <w:color w:val="auto"/>
              </w:rPr>
            </w:pPr>
            <w:r>
              <w:rPr>
                <w:rFonts w:ascii="Arial" w:cs="Arial" w:eastAsia="Arial" w:hAnsi="Arial"/>
                <w:sz w:val="13"/>
                <w:szCs w:val="13"/>
                <w:color w:val="auto"/>
                <w:w w:val="99"/>
              </w:rPr>
              <w:t>4. If Amendment, Date of Original Filed (Month/Day/Year)</w:t>
            </w:r>
          </w:p>
        </w:tc>
        <w:tc>
          <w:tcPr>
            <w:tcW w:w="3780" w:type="dxa"/>
            <w:vAlign w:val="bottom"/>
            <w:gridSpan w:val="11"/>
          </w:tcPr>
          <w:p>
            <w:pPr>
              <w:ind w:left="440"/>
              <w:spacing w:after="0" w:line="14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40" w:type="dxa"/>
            <w:vAlign w:val="bottom"/>
            <w:gridSpan w:val="3"/>
          </w:tcPr>
          <w:p>
            <w:pPr>
              <w:ind w:left="44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3140" w:type="dxa"/>
            <w:vAlign w:val="bottom"/>
            <w:gridSpan w:val="10"/>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NEW YORK</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NY</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10036</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31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40" w:type="dxa"/>
            <w:vAlign w:val="bottom"/>
            <w:gridSpan w:val="8"/>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40" w:type="dxa"/>
            <w:vAlign w:val="bottom"/>
            <w:gridSpan w:val="8"/>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440" w:type="dxa"/>
            <w:vAlign w:val="bottom"/>
            <w:tcBorders>
              <w:bottom w:val="single" w:sz="8" w:color="2C2C2C"/>
            </w:tcBorders>
            <w:gridSpan w:val="3"/>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4"/>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20" w:type="dxa"/>
            <w:vAlign w:val="bottom"/>
            <w:gridSpan w:val="3"/>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6"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9"/>
              </w:rPr>
              <w:t>Disposed Of (D) (Instr. 3, 4 and 5)</w:t>
            </w: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ind w:left="56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4"/>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A</w:t>
            </w:r>
          </w:p>
        </w:tc>
        <w:tc>
          <w:tcPr>
            <w:tcW w:w="6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20.59</w:t>
            </w:r>
          </w:p>
        </w:tc>
        <w:tc>
          <w:tcPr>
            <w:tcW w:w="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77,875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ind w:left="660"/>
              <w:spacing w:after="0"/>
              <w:rPr>
                <w:sz w:val="20"/>
                <w:szCs w:val="20"/>
                <w:color w:val="auto"/>
              </w:rPr>
            </w:pPr>
            <w:r>
              <w:rPr>
                <w:rFonts w:ascii="Arial" w:cs="Arial" w:eastAsia="Arial" w:hAnsi="Arial"/>
                <w:sz w:val="17"/>
                <w:szCs w:val="17"/>
                <w:color w:val="0000FF"/>
              </w:rPr>
              <w:t>04/01/2020</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76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rPr>
              <w:t>10,000</w:t>
            </w:r>
          </w:p>
        </w:tc>
        <w:tc>
          <w:tcPr>
            <w:tcW w:w="54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41.5175</w:t>
            </w:r>
            <w:r>
              <w:rPr>
                <w:rFonts w:ascii="Arial" w:cs="Arial" w:eastAsia="Arial" w:hAnsi="Arial"/>
                <w:sz w:val="21"/>
                <w:szCs w:val="21"/>
                <w:color w:val="008000"/>
                <w:w w:val="86"/>
                <w:vertAlign w:val="superscript"/>
              </w:rPr>
              <w:t>(3)</w:t>
            </w:r>
          </w:p>
        </w:tc>
        <w:tc>
          <w:tcPr>
            <w:tcW w:w="120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67,875</w:t>
            </w:r>
            <w:r>
              <w:rPr>
                <w:rFonts w:ascii="Arial" w:cs="Arial" w:eastAsia="Arial" w:hAnsi="Arial"/>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4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20" w:type="dxa"/>
            <w:vAlign w:val="bottom"/>
            <w:gridSpan w:val="10"/>
          </w:tcPr>
          <w:p>
            <w:pPr>
              <w:jc w:val="center"/>
              <w:ind w:left="55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w:t>
            </w:r>
          </w:p>
        </w:tc>
        <w:tc>
          <w:tcPr>
            <w:tcW w:w="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Expiration Date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 (Instr. 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6"/>
              </w:rPr>
              <w:t>of (D) (Instr.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40" w:type="dxa"/>
            <w:vAlign w:val="bottom"/>
          </w:tcPr>
          <w:p>
            <w:pPr>
              <w:spacing w:after="0"/>
              <w:rPr>
                <w:sz w:val="4"/>
                <w:szCs w:val="4"/>
                <w:color w:val="auto"/>
              </w:rPr>
            </w:pPr>
          </w:p>
        </w:tc>
        <w:tc>
          <w:tcPr>
            <w:tcW w:w="6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40" w:type="dxa"/>
            <w:vAlign w:val="bottom"/>
          </w:tcPr>
          <w:p>
            <w:pPr>
              <w:spacing w:after="0"/>
              <w:rPr>
                <w:sz w:val="11"/>
                <w:szCs w:val="11"/>
                <w:color w:val="auto"/>
              </w:rPr>
            </w:pPr>
          </w:p>
        </w:tc>
        <w:tc>
          <w:tcPr>
            <w:tcW w:w="64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20"/>
              <w:spacing w:after="0"/>
              <w:rPr>
                <w:sz w:val="20"/>
                <w:szCs w:val="20"/>
                <w:color w:val="auto"/>
              </w:rPr>
            </w:pPr>
            <w:r>
              <w:rPr>
                <w:rFonts w:ascii="Arial" w:cs="Arial" w:eastAsia="Arial" w:hAnsi="Arial"/>
                <w:sz w:val="12"/>
                <w:szCs w:val="12"/>
                <w:b w:val="1"/>
                <w:bCs w:val="1"/>
                <w:color w:val="auto"/>
                <w:w w:val="95"/>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40" w:type="dxa"/>
            <w:vAlign w:val="bottom"/>
            <w:vMerge w:val="restart"/>
          </w:tcPr>
          <w:p>
            <w:pPr>
              <w:ind w:left="120"/>
              <w:spacing w:after="0"/>
              <w:rPr>
                <w:sz w:val="20"/>
                <w:szCs w:val="20"/>
                <w:color w:val="auto"/>
              </w:rPr>
            </w:pPr>
            <w:r>
              <w:rPr>
                <w:rFonts w:ascii="Arial" w:cs="Arial" w:eastAsia="Arial" w:hAnsi="Arial"/>
                <w:sz w:val="13"/>
                <w:szCs w:val="13"/>
                <w:color w:val="0000FF"/>
                <w:w w:val="89"/>
              </w:rPr>
              <w:t>Class A</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restart"/>
          </w:tcPr>
          <w:p>
            <w:pPr>
              <w:spacing w:after="0" w:line="207" w:lineRule="exact"/>
              <w:rPr>
                <w:sz w:val="20"/>
                <w:szCs w:val="20"/>
                <w:color w:val="auto"/>
              </w:rPr>
            </w:pPr>
            <w:r>
              <w:rPr>
                <w:rFonts w:ascii="Arial" w:cs="Arial" w:eastAsia="Arial" w:hAnsi="Arial"/>
                <w:sz w:val="24"/>
                <w:szCs w:val="24"/>
                <w:color w:val="0000FF"/>
                <w:vertAlign w:val="subscript"/>
              </w:rPr>
              <w:t>M</w:t>
            </w:r>
            <w:r>
              <w:rPr>
                <w:rFonts w:ascii="Arial" w:cs="Arial" w:eastAsia="Arial" w:hAnsi="Arial"/>
                <w:sz w:val="11"/>
                <w:szCs w:val="11"/>
                <w:color w:val="008000"/>
              </w:rPr>
              <w:t>(1)</w:t>
            </w: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vMerge w:val="restart"/>
          </w:tcPr>
          <w:p>
            <w:pPr>
              <w:ind w:left="380"/>
              <w:spacing w:after="0"/>
              <w:rPr>
                <w:sz w:val="20"/>
                <w:szCs w:val="20"/>
                <w:color w:val="auto"/>
              </w:rPr>
            </w:pPr>
            <w:r>
              <w:rPr>
                <w:rFonts w:ascii="Arial" w:cs="Arial" w:eastAsia="Arial" w:hAnsi="Arial"/>
                <w:sz w:val="11"/>
                <w:szCs w:val="11"/>
                <w:color w:val="008000"/>
              </w:rPr>
              <w:t>(4)</w:t>
            </w:r>
          </w:p>
        </w:tc>
        <w:tc>
          <w:tcPr>
            <w:tcW w:w="7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restart"/>
          </w:tcPr>
          <w:p>
            <w:pPr>
              <w:ind w:left="140"/>
              <w:spacing w:after="0"/>
              <w:rPr>
                <w:sz w:val="20"/>
                <w:szCs w:val="20"/>
                <w:color w:val="auto"/>
              </w:rPr>
            </w:pPr>
            <w:r>
              <w:rPr>
                <w:rFonts w:ascii="Arial" w:cs="Arial" w:eastAsia="Arial" w:hAnsi="Arial"/>
                <w:sz w:val="17"/>
                <w:szCs w:val="17"/>
                <w:color w:val="0000FF"/>
                <w:w w:val="92"/>
              </w:rPr>
              <w:t>10,000</w:t>
            </w: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20.59</w:t>
            </w:r>
          </w:p>
        </w:tc>
        <w:tc>
          <w:tcPr>
            <w:tcW w:w="140" w:type="dxa"/>
            <w:vAlign w:val="bottom"/>
          </w:tcPr>
          <w:p>
            <w:pPr>
              <w:spacing w:after="0"/>
              <w:rPr>
                <w:sz w:val="6"/>
                <w:szCs w:val="6"/>
                <w:color w:val="auto"/>
              </w:rPr>
            </w:pPr>
          </w:p>
        </w:tc>
        <w:tc>
          <w:tcPr>
            <w:tcW w:w="1040" w:type="dxa"/>
            <w:vAlign w:val="bottom"/>
            <w:vMerge w:val="restart"/>
          </w:tcPr>
          <w:p>
            <w:pPr>
              <w:ind w:left="260"/>
              <w:spacing w:after="0" w:line="143" w:lineRule="exact"/>
              <w:rPr>
                <w:sz w:val="20"/>
                <w:szCs w:val="20"/>
                <w:color w:val="auto"/>
              </w:rPr>
            </w:pPr>
            <w:r>
              <w:rPr>
                <w:rFonts w:ascii="Arial" w:cs="Arial" w:eastAsia="Arial" w:hAnsi="Arial"/>
                <w:sz w:val="13"/>
                <w:szCs w:val="13"/>
                <w:color w:val="0000FF"/>
              </w:rPr>
              <w:t>04/01/2020</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720" w:type="dxa"/>
            <w:vAlign w:val="bottom"/>
            <w:gridSpan w:val="2"/>
            <w:vMerge w:val="restart"/>
          </w:tcPr>
          <w:p>
            <w:pPr>
              <w:ind w:left="340"/>
              <w:spacing w:after="0" w:line="143" w:lineRule="exact"/>
              <w:rPr>
                <w:sz w:val="20"/>
                <w:szCs w:val="20"/>
                <w:color w:val="auto"/>
              </w:rPr>
            </w:pPr>
            <w:r>
              <w:rPr>
                <w:rFonts w:ascii="Arial" w:cs="Arial" w:eastAsia="Arial" w:hAnsi="Arial"/>
                <w:sz w:val="13"/>
                <w:szCs w:val="13"/>
                <w:color w:val="0000FF"/>
                <w:w w:val="90"/>
              </w:rPr>
              <w:t>10,000</w:t>
            </w:r>
          </w:p>
        </w:tc>
        <w:tc>
          <w:tcPr>
            <w:tcW w:w="780" w:type="dxa"/>
            <w:vAlign w:val="bottom"/>
            <w:vMerge w:val="continue"/>
          </w:tcPr>
          <w:p>
            <w:pPr>
              <w:spacing w:after="0"/>
              <w:rPr>
                <w:sz w:val="6"/>
                <w:szCs w:val="6"/>
                <w:color w:val="auto"/>
              </w:rPr>
            </w:pPr>
          </w:p>
        </w:tc>
        <w:tc>
          <w:tcPr>
            <w:tcW w:w="760" w:type="dxa"/>
            <w:vAlign w:val="bottom"/>
            <w:vMerge w:val="restart"/>
          </w:tcPr>
          <w:p>
            <w:pPr>
              <w:ind w:left="120"/>
              <w:spacing w:after="0" w:line="143" w:lineRule="exact"/>
              <w:rPr>
                <w:sz w:val="20"/>
                <w:szCs w:val="20"/>
                <w:color w:val="auto"/>
              </w:rPr>
            </w:pPr>
            <w:r>
              <w:rPr>
                <w:rFonts w:ascii="Arial" w:cs="Arial" w:eastAsia="Arial" w:hAnsi="Arial"/>
                <w:sz w:val="13"/>
                <w:szCs w:val="13"/>
                <w:color w:val="0000FF"/>
                <w:w w:val="95"/>
              </w:rPr>
              <w:t>10/26/2028</w:t>
            </w:r>
          </w:p>
        </w:tc>
        <w:tc>
          <w:tcPr>
            <w:tcW w:w="540" w:type="dxa"/>
            <w:vAlign w:val="bottom"/>
            <w:vMerge w:val="restart"/>
          </w:tcPr>
          <w:p>
            <w:pPr>
              <w:ind w:left="80"/>
              <w:spacing w:after="0" w:line="143" w:lineRule="exact"/>
              <w:rPr>
                <w:sz w:val="20"/>
                <w:szCs w:val="20"/>
                <w:color w:val="auto"/>
              </w:rPr>
            </w:pPr>
            <w:r>
              <w:rPr>
                <w:rFonts w:ascii="Arial" w:cs="Arial" w:eastAsia="Arial" w:hAnsi="Arial"/>
                <w:sz w:val="13"/>
                <w:szCs w:val="13"/>
                <w:color w:val="0000FF"/>
                <w:w w:val="88"/>
              </w:rPr>
              <w:t>common</w:t>
            </w:r>
          </w:p>
        </w:tc>
        <w:tc>
          <w:tcPr>
            <w:tcW w:w="64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vMerge w:val="restart"/>
          </w:tcPr>
          <w:p>
            <w:pPr>
              <w:ind w:left="200"/>
              <w:spacing w:after="0" w:line="143" w:lineRule="exact"/>
              <w:rPr>
                <w:sz w:val="20"/>
                <w:szCs w:val="20"/>
                <w:color w:val="auto"/>
              </w:rPr>
            </w:pPr>
            <w:r>
              <w:rPr>
                <w:rFonts w:ascii="Arial" w:cs="Arial" w:eastAsia="Arial" w:hAnsi="Arial"/>
                <w:sz w:val="13"/>
                <w:szCs w:val="13"/>
                <w:color w:val="0000FF"/>
                <w:w w:val="85"/>
              </w:rPr>
              <w:t>152,464</w:t>
            </w:r>
          </w:p>
        </w:tc>
        <w:tc>
          <w:tcPr>
            <w:tcW w:w="240" w:type="dxa"/>
            <w:vAlign w:val="bottom"/>
          </w:tcPr>
          <w:p>
            <w:pPr>
              <w:spacing w:after="0"/>
              <w:rPr>
                <w:sz w:val="6"/>
                <w:szCs w:val="6"/>
                <w:color w:val="auto"/>
              </w:rPr>
            </w:pPr>
          </w:p>
        </w:tc>
        <w:tc>
          <w:tcPr>
            <w:tcW w:w="680" w:type="dxa"/>
            <w:vAlign w:val="bottom"/>
            <w:vMerge w:val="restart"/>
          </w:tcPr>
          <w:p>
            <w:pPr>
              <w:ind w:left="340"/>
              <w:spacing w:after="0" w:line="143"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3"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vMerge w:val="restart"/>
          </w:tcPr>
          <w:p>
            <w:pPr>
              <w:ind w:left="18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-3368040</wp:posOffset>
            </wp:positionV>
            <wp:extent cx="7033260" cy="3409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260" cy="3409950"/>
                    </a:xfrm>
                    <a:prstGeom prst="rect">
                      <a:avLst/>
                    </a:prstGeom>
                    <a:noFill/>
                  </pic:spPr>
                </pic:pic>
              </a:graphicData>
            </a:graphic>
          </wp:anchor>
        </w:drawing>
      </w:r>
    </w:p>
    <w:p>
      <w:pPr>
        <w:spacing w:after="0" w:line="6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transaction was effected pursuant to a Rule 10b5-1 trading plan adopted by the reporting person on December 13, 2019.</w:t>
      </w:r>
    </w:p>
    <w:p>
      <w:pPr>
        <w:spacing w:after="0" w:line="44" w:lineRule="exact"/>
        <w:rPr>
          <w:rFonts w:ascii="Arial" w:cs="Arial" w:eastAsia="Arial" w:hAnsi="Arial"/>
          <w:sz w:val="13"/>
          <w:szCs w:val="13"/>
          <w:color w:val="008000"/>
        </w:rPr>
      </w:pPr>
    </w:p>
    <w:p>
      <w:pPr>
        <w:ind w:left="40" w:right="280" w:firstLine="2"/>
        <w:spacing w:after="0" w:line="302" w:lineRule="auto"/>
        <w:tabs>
          <w:tab w:leader="none" w:pos="169"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This amount includes (i) 22,867 unvested restricted stock units ("RSUs") in respect of the issuer's Class A common stock ("Class A Common Stock") which are scheduled to vest on January 1, 2021, (ii) 33,004 unvested RSUs in respect of Class A Common Stock which are scheduled to vest on January 1, 2022 and (iii) 9,004 unvested RSUs in respect of Class A Common Stock which are scheduled to vest in equal installments on each of the first, second and third anniversaries of March 17, 2020, in each case subject to the reporting person's continued employment through the applicable vesting date.</w:t>
      </w:r>
    </w:p>
    <w:p>
      <w:pPr>
        <w:spacing w:after="0" w:line="1" w:lineRule="exact"/>
        <w:rPr>
          <w:rFonts w:ascii="Arial" w:cs="Arial" w:eastAsia="Arial" w:hAnsi="Arial"/>
          <w:sz w:val="11"/>
          <w:szCs w:val="11"/>
          <w:color w:val="008000"/>
        </w:rPr>
      </w:pPr>
    </w:p>
    <w:p>
      <w:pPr>
        <w:ind w:left="40" w:right="20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$41.50 to $41.64, inclusive.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is fully vested and exercisable as of the date hereof.</w:t>
      </w:r>
    </w:p>
    <w:p>
      <w:pPr>
        <w:spacing w:after="0" w:line="52"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1"/>
              </w:rPr>
              <w:t>/s/ Scott Zucker, Attorney-in-</w:t>
            </w:r>
          </w:p>
        </w:tc>
        <w:tc>
          <w:tcPr>
            <w:tcW w:w="100" w:type="dxa"/>
            <w:vAlign w:val="bottom"/>
          </w:tcPr>
          <w:p>
            <w:pPr>
              <w:spacing w:after="0"/>
              <w:rPr>
                <w:sz w:val="16"/>
                <w:szCs w:val="16"/>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7"/>
                <w:szCs w:val="17"/>
                <w:color w:val="0000FF"/>
                <w:w w:val="89"/>
              </w:rPr>
              <w:t>04/03/2020</w:t>
            </w:r>
          </w:p>
        </w:tc>
        <w:tc>
          <w:tcPr>
            <w:tcW w:w="0" w:type="dxa"/>
            <w:vAlign w:val="bottom"/>
          </w:tcPr>
          <w:p>
            <w:pPr>
              <w:spacing w:after="0"/>
              <w:rPr>
                <w:sz w:val="1"/>
                <w:szCs w:val="1"/>
                <w:color w:val="auto"/>
              </w:rPr>
            </w:pPr>
          </w:p>
        </w:tc>
      </w:tr>
      <w:tr>
        <w:trPr>
          <w:trHeight w:val="84"/>
        </w:trPr>
        <w:tc>
          <w:tcPr>
            <w:tcW w:w="2100" w:type="dxa"/>
            <w:vAlign w:val="bottom"/>
            <w:gridSpan w:val="3"/>
            <w:vMerge w:val="restart"/>
          </w:tcPr>
          <w:p>
            <w:pPr>
              <w:spacing w:after="0" w:line="187" w:lineRule="exact"/>
              <w:rPr>
                <w:sz w:val="20"/>
                <w:szCs w:val="20"/>
                <w:color w:val="auto"/>
              </w:rPr>
            </w:pPr>
            <w:r>
              <w:rPr>
                <w:rFonts w:ascii="Arial" w:cs="Arial" w:eastAsia="Arial" w:hAnsi="Arial"/>
                <w:sz w:val="17"/>
                <w:szCs w:val="17"/>
                <w:color w:val="0000FF"/>
              </w:rPr>
              <w:t>Fact for Douglas Friedman</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1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20" w:type="dxa"/>
            <w:vAlign w:val="bottom"/>
            <w:shd w:val="clear" w:color="auto" w:fill="000000"/>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60" w:firstLine="2"/>
        <w:spacing w:after="0" w:line="335"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1193" TargetMode="External"/><Relationship Id="rId14" Type="http://schemas.openxmlformats.org/officeDocument/2006/relationships/hyperlink" Target="http://www.sec.gov/cgi-bin/browse-edgar?action=getcompany&amp;CIK=00017587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2020-04-03T16:10:19Z</dcterms:created>
  <dcterms:modified xsi:type="dcterms:W3CDTF">2020-04-03T16:10:19Z</dcterms:modified>
</cp:coreProperties>
</file>