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03/20/2023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1,536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75.04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35,808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03/20/2023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18</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35,826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2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1,697 unvested RSUs in respect of Class A Common Stock which are scheduled to vest on March 15, 2024, (ii) 10,180 unvested RSUs in respect of Class A Common Stock which are scheduled to vest on January 1, 2024, (iii) 3,483 unvested RSUs in respect of Class A Common Stock which are scheduled to vest in equal installments on March 15, 2024 and March 15, 2025, (iv) 6,749 unvested RSUs in respect of Class A Common Stock that are scheduled to vest on January 1,2025, and (v) 7,547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03/22/2023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2023-03-22T20:02:33Z</dcterms:created>
  <dcterms:modified xsi:type="dcterms:W3CDTF">2023-03-22T20:02:33Z</dcterms:modified>
</cp:coreProperties>
</file>