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01/04/2023</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7"/>
              </w:rPr>
              <w:t>15,115</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63,402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reporting person filed a Form 4 that reported the incorrect number of shares withheld by the issuer to satisfying the tax withholding obligation associated with the settlement ofrestricted stock units ("RSUs") in respect of the issuer's Class A common stock (the "Class A Common Stock") held by the reporting person. This Form 4/A reports the correct number of shares withheld and the correct number of shares held by the reporting person following the transactions that occurred on January 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5,360 unvested RSUs in respect of Class A Common Stock which are scheduled to vest on March 17, 2023, (ii) 6,293 unvested RSUs in respect of Class A Common Stock which are scheduled to vest in equal installments on each of March 15, 2023 and March 15, 2024, (iii) 18,878 unvested RSUs in respect of Class A Common Stock which are scheduled to vest on January 1, 2024, and (iv) 11,046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2023-01-09T19:25:01Z</dcterms:created>
  <dcterms:modified xsi:type="dcterms:W3CDTF">2023-01-09T19:25:01Z</dcterms:modified>
</cp:coreProperties>
</file>