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Peterson Justin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245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10167</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9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ind w:left="620"/>
              <w:spacing w:after="0"/>
              <w:rPr>
                <w:sz w:val="20"/>
                <w:szCs w:val="20"/>
                <w:color w:val="auto"/>
              </w:rPr>
            </w:pPr>
            <w:r>
              <w:rPr>
                <w:rFonts w:ascii="Times New Roman" w:cs="Times New Roman" w:eastAsia="Times New Roman" w:hAnsi="Times New Roman"/>
                <w:sz w:val="17"/>
                <w:szCs w:val="17"/>
                <w:color w:val="0000FF"/>
              </w:rPr>
              <w:t>04/15/2026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21,221</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120.6586</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36,291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November 3, 2025.</w:t>
      </w:r>
    </w:p>
    <w:p>
      <w:pPr>
        <w:spacing w:after="0" w:line="50" w:lineRule="exact"/>
        <w:rPr>
          <w:rFonts w:ascii="Times New Roman" w:cs="Times New Roman" w:eastAsia="Times New Roman" w:hAnsi="Times New Roman"/>
          <w:sz w:val="13"/>
          <w:szCs w:val="13"/>
          <w:color w:val="008000"/>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$119.57 to $122.42,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2,548 unvested restricted stock units ("RSUs") in respect of the issuer's Class A common stock ("Class A Common Stock") that are scheduled to vest on March 15, 2027, (ii) 4,485 unvested RSUs in respect of Class A Common Stock that are scheduled to vest in equal installments on March 17, 2027 and March 17, 2028 and (iii) 8,037 unvested RSUs in respect of Class A Common Stock that are scheduled to vest in equal installments on March 15, 2027, March 15, 2028 and March 15, 2029, in each case, subject to the reporting person's continued employment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7"/>
          <w:szCs w:val="17"/>
          <w:color w:val="0000FF"/>
        </w:rPr>
        <w:t>04/17/2026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Peterson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79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909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07231"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2026-04-17T15:15:10Z</dcterms:created>
  <dcterms:modified xsi:type="dcterms:W3CDTF">2026-04-17T15:15:10Z</dcterms:modified>
</cp:coreProperties>
</file>