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6,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February 6, 2024, Tradeweb Markets Inc. (the “Company”) issued a press release, a copy of which is furnished as Exhibit 99.1 hereto and incorporated herein by reference, announcing financial results for the quarter and full year ended December 31, 2023.</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0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Tradeweb Markets Inc., dated February 6, 2024.</w:t>
            </w:r>
          </w:p>
        </w:tc>
        <w:tc>
          <w:tcPr>
            <w:tcW w:w="4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2024</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tbl>
      <w:tblPr>
        <w:tblLayout w:type="fixed"/>
        <w:tblInd w:w="5500" w:type="dxa"/>
        <w:tblCellMar>
          <w:top w:w="0" w:type="dxa"/>
          <w:left w:w="0" w:type="dxa"/>
          <w:bottom w:w="0" w:type="dxa"/>
          <w:right w:w="0" w:type="dxa"/>
        </w:tblCellMar>
      </w:tblPr>
      <w:tr>
        <w:trPr>
          <w:trHeight w:val="189"/>
        </w:trPr>
        <w:tc>
          <w:tcPr>
            <w:tcW w:w="2480" w:type="dxa"/>
            <w:vAlign w:val="bottom"/>
            <w:vMerge w:val="restart"/>
          </w:tcPr>
          <w:p>
            <w:pPr>
              <w:spacing w:after="0"/>
              <w:rPr>
                <w:sz w:val="20"/>
                <w:szCs w:val="20"/>
                <w:color w:val="auto"/>
              </w:rPr>
            </w:pPr>
            <w:r>
              <w:rPr>
                <w:rFonts w:ascii="Arial" w:cs="Arial" w:eastAsia="Arial" w:hAnsi="Arial"/>
                <w:sz w:val="16"/>
                <w:szCs w:val="16"/>
                <w:b w:val="1"/>
                <w:bCs w:val="1"/>
                <w:color w:val="00346B"/>
              </w:rPr>
              <w:t>Investor Relations</w:t>
            </w:r>
          </w:p>
        </w:tc>
        <w:tc>
          <w:tcPr>
            <w:tcW w:w="2460" w:type="dxa"/>
            <w:vAlign w:val="bottom"/>
          </w:tcPr>
          <w:p>
            <w:pPr>
              <w:ind w:left="160"/>
              <w:spacing w:after="0"/>
              <w:rPr>
                <w:sz w:val="20"/>
                <w:szCs w:val="20"/>
                <w:color w:val="auto"/>
              </w:rPr>
            </w:pPr>
            <w:r>
              <w:rPr>
                <w:rFonts w:ascii="Arial" w:cs="Arial" w:eastAsia="Arial" w:hAnsi="Arial"/>
                <w:sz w:val="16"/>
                <w:szCs w:val="16"/>
                <w:b w:val="1"/>
                <w:bCs w:val="1"/>
                <w:color w:val="083566"/>
              </w:rPr>
              <w:t>Media Relations</w:t>
            </w: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460" w:type="dxa"/>
            <w:vAlign w:val="bottom"/>
            <w:vMerge w:val="restart"/>
          </w:tcPr>
          <w:p>
            <w:pPr>
              <w:ind w:left="160"/>
              <w:spacing w:after="0"/>
              <w:rPr>
                <w:sz w:val="20"/>
                <w:szCs w:val="20"/>
                <w:color w:val="auto"/>
              </w:rPr>
            </w:pPr>
            <w:r>
              <w:rPr>
                <w:rFonts w:ascii="Arial" w:cs="Arial" w:eastAsia="Arial" w:hAnsi="Arial"/>
                <w:sz w:val="16"/>
                <w:szCs w:val="16"/>
                <w:color w:val="auto"/>
              </w:rPr>
              <w:t>Daniel Noonan + 1 646 767</w:t>
            </w:r>
          </w:p>
        </w:tc>
        <w:tc>
          <w:tcPr>
            <w:tcW w:w="0" w:type="dxa"/>
            <w:vAlign w:val="bottom"/>
          </w:tcPr>
          <w:p>
            <w:pPr>
              <w:spacing w:after="0"/>
              <w:rPr>
                <w:sz w:val="1"/>
                <w:szCs w:val="1"/>
                <w:color w:val="auto"/>
              </w:rPr>
            </w:pPr>
          </w:p>
        </w:tc>
      </w:tr>
      <w:tr>
        <w:trPr>
          <w:trHeight w:val="95"/>
        </w:trPr>
        <w:tc>
          <w:tcPr>
            <w:tcW w:w="2480" w:type="dxa"/>
            <w:vAlign w:val="bottom"/>
            <w:vMerge w:val="restart"/>
          </w:tcPr>
          <w:p>
            <w:pPr>
              <w:spacing w:after="0"/>
              <w:rPr>
                <w:sz w:val="20"/>
                <w:szCs w:val="20"/>
                <w:color w:val="auto"/>
              </w:rPr>
            </w:pPr>
            <w:r>
              <w:rPr>
                <w:rFonts w:ascii="Arial" w:cs="Arial" w:eastAsia="Arial" w:hAnsi="Arial"/>
                <w:sz w:val="16"/>
                <w:szCs w:val="16"/>
                <w:color w:val="auto"/>
              </w:rPr>
              <w:t>Ashley Serrao + 1 646 430 6027</w:t>
            </w: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460" w:type="dxa"/>
            <w:vAlign w:val="bottom"/>
            <w:vMerge w:val="restart"/>
          </w:tcPr>
          <w:p>
            <w:pPr>
              <w:ind w:left="160"/>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81"/>
        </w:trPr>
        <w:tc>
          <w:tcPr>
            <w:tcW w:w="2480" w:type="dxa"/>
            <w:vAlign w:val="bottom"/>
            <w:vMerge w:val="restart"/>
          </w:tcPr>
          <w:p>
            <w:pPr>
              <w:spacing w:after="0"/>
              <w:rPr>
                <w:sz w:val="20"/>
                <w:szCs w:val="20"/>
                <w:color w:val="auto"/>
              </w:rPr>
            </w:pPr>
            <w:r>
              <w:rPr>
                <w:rFonts w:ascii="Arial" w:cs="Arial" w:eastAsia="Arial" w:hAnsi="Arial"/>
                <w:sz w:val="16"/>
                <w:szCs w:val="16"/>
                <w:color w:val="auto"/>
              </w:rPr>
              <w:t>Ashley.Serrao@Tradeweb.com</w:t>
            </w: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2460" w:type="dxa"/>
            <w:vAlign w:val="bottom"/>
            <w:vMerge w:val="restart"/>
          </w:tcPr>
          <w:p>
            <w:pPr>
              <w:ind w:left="160"/>
              <w:spacing w:after="0"/>
              <w:rPr>
                <w:sz w:val="20"/>
                <w:szCs w:val="20"/>
                <w:color w:val="auto"/>
              </w:rPr>
            </w:pPr>
            <w:r>
              <w:rPr>
                <w:rFonts w:ascii="Arial" w:cs="Arial" w:eastAsia="Arial" w:hAnsi="Arial"/>
                <w:sz w:val="16"/>
                <w:szCs w:val="16"/>
                <w:color w:val="auto"/>
              </w:rPr>
              <w:t>Daniel.Noonan@Tradeweb.com</w:t>
            </w: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right="400"/>
        <w:spacing w:after="0" w:line="366" w:lineRule="auto"/>
        <w:rPr>
          <w:sz w:val="20"/>
          <w:szCs w:val="20"/>
          <w:color w:val="auto"/>
        </w:rPr>
      </w:pPr>
      <w:r>
        <w:rPr>
          <w:rFonts w:ascii="Arial" w:cs="Arial" w:eastAsia="Arial" w:hAnsi="Arial"/>
          <w:sz w:val="25"/>
          <w:szCs w:val="25"/>
          <w:b w:val="1"/>
          <w:bCs w:val="1"/>
          <w:color w:val="00ADCB"/>
        </w:rPr>
        <w:t xml:space="preserve">TRADEWEB REPORTS FOURTH QUARTER AND FULL YEAR 2023 FINANCIAL RESULTS </w:t>
      </w:r>
      <w:r>
        <w:rPr>
          <w:rFonts w:ascii="Arial" w:cs="Arial" w:eastAsia="Arial" w:hAnsi="Arial"/>
          <w:sz w:val="25"/>
          <w:szCs w:val="25"/>
          <w:b w:val="1"/>
          <w:bCs w:val="1"/>
          <w:color w:val="00346B"/>
        </w:rPr>
        <w:t>QUARTERLY CASH DIVIDEND RAISED BY 11.1% to $0.10 PER SHARE</w:t>
      </w:r>
    </w:p>
    <w:p>
      <w:pPr>
        <w:spacing w:after="0" w:line="11"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b w:val="1"/>
          <w:bCs w:val="1"/>
          <w:color w:val="auto"/>
        </w:rPr>
        <w:t xml:space="preserve">New York, February 6, 2024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fourth quarter and full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30480</wp:posOffset>
            </wp:positionV>
            <wp:extent cx="3111500" cy="2297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00" cy="2297430"/>
                    </a:xfrm>
                    <a:prstGeom prst="rect">
                      <a:avLst/>
                    </a:prstGeom>
                    <a:noFill/>
                  </pic:spPr>
                </pic:pic>
              </a:graphicData>
            </a:graphic>
          </wp:anchor>
        </w:drawing>
      </w:r>
    </w:p>
    <w:p>
      <w:pPr>
        <w:sectPr>
          <w:pgSz w:w="11900" w:h="16838" w:orient="portrait"/>
          <w:cols w:equalWidth="0" w:num="1">
            <w:col w:w="10980"/>
          </w:cols>
          <w:pgMar w:left="320" w:top="274" w:right="599" w:bottom="1440" w:gutter="0" w:footer="0" w:header="0"/>
        </w:sectPr>
      </w:pPr>
    </w:p>
    <w:p>
      <w:pPr>
        <w:spacing w:after="0" w:line="61"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$370.0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26.3% </w:t>
      </w:r>
      <w:r>
        <w:rPr>
          <w:rFonts w:ascii="Arial" w:cs="Arial" w:eastAsia="Arial" w:hAnsi="Arial"/>
          <w:sz w:val="16"/>
          <w:szCs w:val="16"/>
          <w:color w:val="auto"/>
        </w:rPr>
        <w:t>(</w:t>
      </w:r>
      <w:r>
        <w:rPr>
          <w:rFonts w:ascii="Arial" w:cs="Arial" w:eastAsia="Arial" w:hAnsi="Arial"/>
          <w:sz w:val="16"/>
          <w:szCs w:val="16"/>
          <w:b w:val="1"/>
          <w:bCs w:val="1"/>
          <w:color w:val="auto"/>
        </w:rPr>
        <w:t xml:space="preserve">24.6%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right="80"/>
        <w:spacing w:after="0" w:line="260" w:lineRule="auto"/>
        <w:rPr>
          <w:sz w:val="20"/>
          <w:szCs w:val="20"/>
          <w:color w:val="auto"/>
        </w:rPr>
      </w:pPr>
      <w:r>
        <w:rPr>
          <w:rFonts w:ascii="Arial" w:cs="Arial" w:eastAsia="Arial" w:hAnsi="Arial"/>
          <w:sz w:val="16"/>
          <w:szCs w:val="16"/>
          <w:b w:val="1"/>
          <w:bCs w:val="1"/>
          <w:color w:val="auto"/>
        </w:rPr>
        <w:t xml:space="preserve">$1.7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56.9% </w:t>
      </w:r>
      <w:r>
        <w:rPr>
          <w:rFonts w:ascii="Arial" w:cs="Arial" w:eastAsia="Arial" w:hAnsi="Arial"/>
          <w:sz w:val="16"/>
          <w:szCs w:val="16"/>
          <w:color w:val="auto"/>
        </w:rPr>
        <w:t xml:space="preserve">compared to prior year period; quarterly ADV records in fully electronic U.S. High Grade credit, U.S. government bonds, equity convertibles/swaps/options, global repurchase agreements and swaps/swaptions ≥ 1-year; record </w:t>
      </w:r>
      <w:r>
        <w:rPr>
          <w:rFonts w:ascii="Arial" w:cs="Arial" w:eastAsia="Arial" w:hAnsi="Arial"/>
          <w:sz w:val="16"/>
          <w:szCs w:val="16"/>
          <w:b w:val="1"/>
          <w:bCs w:val="1"/>
          <w:color w:val="auto"/>
        </w:rPr>
        <w:t>17.2%</w:t>
      </w:r>
      <w:r>
        <w:rPr>
          <w:rFonts w:ascii="Arial" w:cs="Arial" w:eastAsia="Arial" w:hAnsi="Arial"/>
          <w:sz w:val="16"/>
          <w:szCs w:val="16"/>
          <w:color w:val="auto"/>
        </w:rPr>
        <w:t xml:space="preserve"> share of fully electronic U.S. High Grade TRACE</w:t>
      </w:r>
    </w:p>
    <w:p>
      <w:pPr>
        <w:spacing w:after="0" w:line="83" w:lineRule="exact"/>
        <w:rPr>
          <w:sz w:val="20"/>
          <w:szCs w:val="20"/>
          <w:color w:val="auto"/>
        </w:rPr>
      </w:pPr>
    </w:p>
    <w:p>
      <w:pPr>
        <w:ind w:left="20" w:right="560"/>
        <w:spacing w:after="0" w:line="296" w:lineRule="auto"/>
        <w:rPr>
          <w:sz w:val="20"/>
          <w:szCs w:val="20"/>
          <w:color w:val="auto"/>
        </w:rPr>
      </w:pPr>
      <w:r>
        <w:rPr>
          <w:rFonts w:ascii="Arial" w:cs="Arial" w:eastAsia="Arial" w:hAnsi="Arial"/>
          <w:sz w:val="16"/>
          <w:szCs w:val="16"/>
          <w:b w:val="1"/>
          <w:bCs w:val="1"/>
          <w:color w:val="auto"/>
        </w:rPr>
        <w:t xml:space="preserve">$103.7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$151.9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4.8%</w:t>
      </w:r>
      <w:r>
        <w:rPr>
          <w:rFonts w:ascii="Arial" w:cs="Arial" w:eastAsia="Arial" w:hAnsi="Arial"/>
          <w:sz w:val="16"/>
          <w:szCs w:val="16"/>
          <w:color w:val="auto"/>
        </w:rPr>
        <w:t xml:space="preserve"> and </w:t>
      </w:r>
      <w:r>
        <w:rPr>
          <w:rFonts w:ascii="Arial" w:cs="Arial" w:eastAsia="Arial" w:hAnsi="Arial"/>
          <w:sz w:val="16"/>
          <w:szCs w:val="16"/>
          <w:b w:val="1"/>
          <w:bCs w:val="1"/>
          <w:color w:val="auto"/>
        </w:rPr>
        <w:t>30.0%</w:t>
      </w:r>
      <w:r>
        <w:rPr>
          <w:rFonts w:ascii="Arial" w:cs="Arial" w:eastAsia="Arial" w:hAnsi="Arial"/>
          <w:sz w:val="16"/>
          <w:szCs w:val="16"/>
          <w:color w:val="auto"/>
        </w:rPr>
        <w:t xml:space="preserve"> respectively from prior year period</w:t>
      </w:r>
    </w:p>
    <w:p>
      <w:pPr>
        <w:spacing w:after="0" w:line="46" w:lineRule="exact"/>
        <w:rPr>
          <w:sz w:val="20"/>
          <w:szCs w:val="20"/>
          <w:color w:val="auto"/>
        </w:rPr>
      </w:pPr>
    </w:p>
    <w:p>
      <w:pPr>
        <w:ind w:left="20" w:right="160"/>
        <w:spacing w:after="0" w:line="286" w:lineRule="auto"/>
        <w:rPr>
          <w:sz w:val="20"/>
          <w:szCs w:val="20"/>
          <w:color w:val="auto"/>
        </w:rPr>
      </w:pPr>
      <w:r>
        <w:rPr>
          <w:rFonts w:ascii="Arial" w:cs="Arial" w:eastAsia="Arial" w:hAnsi="Arial"/>
          <w:sz w:val="16"/>
          <w:szCs w:val="16"/>
          <w:b w:val="1"/>
          <w:bCs w:val="1"/>
          <w:color w:val="auto"/>
        </w:rPr>
        <w:t xml:space="preserve">53.0%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$195.9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52.8% and $154.7 million respectively for prior year period</w:t>
      </w:r>
    </w:p>
    <w:p>
      <w:pPr>
        <w:spacing w:after="0" w:line="48" w:lineRule="exact"/>
        <w:rPr>
          <w:sz w:val="20"/>
          <w:szCs w:val="20"/>
          <w:color w:val="auto"/>
        </w:rPr>
      </w:pPr>
    </w:p>
    <w:p>
      <w:pPr>
        <w:ind w:left="20" w:right="480"/>
        <w:spacing w:after="0" w:line="304" w:lineRule="auto"/>
        <w:rPr>
          <w:sz w:val="20"/>
          <w:szCs w:val="20"/>
          <w:color w:val="auto"/>
        </w:rPr>
      </w:pPr>
      <w:r>
        <w:rPr>
          <w:rFonts w:ascii="Arial" w:cs="Arial" w:eastAsia="Arial" w:hAnsi="Arial"/>
          <w:sz w:val="16"/>
          <w:szCs w:val="16"/>
          <w:b w:val="1"/>
          <w:bCs w:val="1"/>
          <w:color w:val="auto"/>
        </w:rPr>
        <w:t xml:space="preserve">$0.42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$0.64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33"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b w:val="1"/>
          <w:bCs w:val="1"/>
          <w:color w:val="auto"/>
        </w:rPr>
        <w:t xml:space="preserve">$0.10 </w:t>
      </w:r>
      <w:r>
        <w:rPr>
          <w:rFonts w:ascii="Arial" w:cs="Arial" w:eastAsia="Arial" w:hAnsi="Arial"/>
          <w:sz w:val="16"/>
          <w:szCs w:val="16"/>
          <w:color w:val="auto"/>
        </w:rPr>
        <w:t>per share quarterly cash dividend declared, an</w:t>
      </w:r>
      <w:r>
        <w:rPr>
          <w:rFonts w:ascii="Arial" w:cs="Arial" w:eastAsia="Arial" w:hAnsi="Arial"/>
          <w:sz w:val="16"/>
          <w:szCs w:val="16"/>
          <w:b w:val="1"/>
          <w:bCs w:val="1"/>
          <w:color w:val="auto"/>
        </w:rPr>
        <w:t xml:space="preserve"> 11.1%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period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6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2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6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56"/>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2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4Q22</w:t>
            </w:r>
          </w:p>
        </w:tc>
        <w:tc>
          <w:tcPr>
            <w:tcW w:w="880" w:type="dxa"/>
            <w:vAlign w:val="bottom"/>
            <w:shd w:val="clear" w:color="auto" w:fill="083566"/>
          </w:tcPr>
          <w:p>
            <w:pPr>
              <w:jc w:val="right"/>
              <w:ind w:right="99"/>
              <w:spacing w:after="0"/>
              <w:rPr>
                <w:sz w:val="20"/>
                <w:szCs w:val="20"/>
                <w:color w:val="auto"/>
              </w:rPr>
            </w:pPr>
            <w:r>
              <w:rPr>
                <w:rFonts w:ascii="Arial" w:cs="Arial" w:eastAsia="Arial" w:hAnsi="Arial"/>
                <w:sz w:val="16"/>
                <w:szCs w:val="16"/>
                <w:b w:val="1"/>
                <w:bCs w:val="1"/>
                <w:color w:val="FFFFFF"/>
              </w:rPr>
              <w:t>Change</w:t>
            </w:r>
          </w:p>
        </w:tc>
        <w:tc>
          <w:tcPr>
            <w:tcW w:w="96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w w:val="94"/>
              </w:rPr>
              <w:t xml:space="preserve">Change </w:t>
            </w:r>
            <w:r>
              <w:rPr>
                <w:rFonts w:ascii="Arial" w:cs="Arial" w:eastAsia="Arial" w:hAnsi="Arial"/>
                <w:sz w:val="21"/>
                <w:szCs w:val="21"/>
                <w:b w:val="1"/>
                <w:bCs w:val="1"/>
                <w:color w:val="FFFFFF"/>
                <w:w w:val="94"/>
                <w:vertAlign w:val="superscript"/>
              </w:rPr>
              <w:t>(1)</w:t>
            </w:r>
          </w:p>
        </w:tc>
        <w:tc>
          <w:tcPr>
            <w:tcW w:w="0" w:type="dxa"/>
            <w:vAlign w:val="bottom"/>
          </w:tcPr>
          <w:p>
            <w:pPr>
              <w:spacing w:after="0"/>
              <w:rPr>
                <w:sz w:val="1"/>
                <w:szCs w:val="1"/>
                <w:color w:val="auto"/>
              </w:rPr>
            </w:pPr>
          </w:p>
        </w:tc>
      </w:tr>
      <w:tr>
        <w:trPr>
          <w:trHeight w:val="230"/>
        </w:trPr>
        <w:tc>
          <w:tcPr>
            <w:tcW w:w="494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8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370,000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293,042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26.3 %</w:t>
            </w:r>
          </w:p>
        </w:tc>
        <w:tc>
          <w:tcPr>
            <w:tcW w:w="580" w:type="dxa"/>
            <w:vAlign w:val="bottom"/>
          </w:tcPr>
          <w:p>
            <w:pPr>
              <w:jc w:val="right"/>
              <w:spacing w:after="0"/>
              <w:rPr>
                <w:sz w:val="20"/>
                <w:szCs w:val="20"/>
                <w:color w:val="auto"/>
              </w:rPr>
            </w:pPr>
            <w:r>
              <w:rPr>
                <w:rFonts w:ascii="Arial" w:cs="Arial" w:eastAsia="Arial" w:hAnsi="Arial"/>
                <w:sz w:val="16"/>
                <w:szCs w:val="16"/>
                <w:color w:val="auto"/>
              </w:rPr>
              <w:t>24.6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Rates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191,743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145,314</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32.0 %</w:t>
            </w:r>
          </w:p>
        </w:tc>
        <w:tc>
          <w:tcPr>
            <w:tcW w:w="580" w:type="dxa"/>
            <w:vAlign w:val="bottom"/>
          </w:tcPr>
          <w:p>
            <w:pPr>
              <w:jc w:val="right"/>
              <w:spacing w:after="0"/>
              <w:rPr>
                <w:sz w:val="20"/>
                <w:szCs w:val="20"/>
                <w:color w:val="auto"/>
              </w:rPr>
            </w:pPr>
            <w:r>
              <w:rPr>
                <w:rFonts w:ascii="Arial" w:cs="Arial" w:eastAsia="Arial" w:hAnsi="Arial"/>
                <w:sz w:val="16"/>
                <w:szCs w:val="16"/>
                <w:color w:val="auto"/>
              </w:rPr>
              <w:t>30.1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00" w:type="dxa"/>
            <w:vAlign w:val="bottom"/>
          </w:tcPr>
          <w:p>
            <w:pPr>
              <w:ind w:left="140"/>
              <w:spacing w:after="0"/>
              <w:rPr>
                <w:sz w:val="20"/>
                <w:szCs w:val="20"/>
                <w:color w:val="auto"/>
              </w:rPr>
            </w:pPr>
            <w:r>
              <w:rPr>
                <w:rFonts w:ascii="Arial" w:cs="Arial" w:eastAsia="Arial" w:hAnsi="Arial"/>
                <w:sz w:val="16"/>
                <w:szCs w:val="16"/>
                <w:color w:val="auto"/>
              </w:rPr>
              <w:t>Credit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104,267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83,393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25.0 %</w:t>
            </w:r>
          </w:p>
        </w:tc>
        <w:tc>
          <w:tcPr>
            <w:tcW w:w="580" w:type="dxa"/>
            <w:vAlign w:val="bottom"/>
          </w:tcPr>
          <w:p>
            <w:pPr>
              <w:jc w:val="right"/>
              <w:spacing w:after="0"/>
              <w:rPr>
                <w:sz w:val="20"/>
                <w:szCs w:val="20"/>
                <w:color w:val="auto"/>
              </w:rPr>
            </w:pPr>
            <w:r>
              <w:rPr>
                <w:rFonts w:ascii="Arial" w:cs="Arial" w:eastAsia="Arial" w:hAnsi="Arial"/>
                <w:sz w:val="16"/>
                <w:szCs w:val="16"/>
                <w:color w:val="auto"/>
              </w:rPr>
              <w:t>23.6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26,056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23,003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13.3 %</w:t>
            </w: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16,606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13,299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24.9 %</w:t>
            </w: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25,908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22,295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16.2 %</w:t>
            </w:r>
          </w:p>
        </w:tc>
        <w:tc>
          <w:tcPr>
            <w:tcW w:w="580" w:type="dxa"/>
            <w:vAlign w:val="bottom"/>
          </w:tcPr>
          <w:p>
            <w:pPr>
              <w:jc w:val="right"/>
              <w:spacing w:after="0"/>
              <w:rPr>
                <w:sz w:val="20"/>
                <w:szCs w:val="20"/>
                <w:color w:val="auto"/>
              </w:rPr>
            </w:pPr>
            <w:r>
              <w:rPr>
                <w:rFonts w:ascii="Arial" w:cs="Arial" w:eastAsia="Arial" w:hAnsi="Arial"/>
                <w:sz w:val="16"/>
                <w:szCs w:val="16"/>
                <w:color w:val="auto"/>
              </w:rPr>
              <w:t>15.3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5,420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5,738</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(5.5) %</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103,741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99,002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4.8 %</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89,314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88,946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0.4 %</w:t>
            </w: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0.42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0.42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0.0 %</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33.8 %</w:t>
            </w:r>
          </w:p>
        </w:tc>
        <w:tc>
          <w:tcPr>
            <w:tcW w:w="880" w:type="dxa"/>
            <w:vAlign w:val="bottom"/>
          </w:tcPr>
          <w:p>
            <w:pPr>
              <w:jc w:val="right"/>
              <w:spacing w:after="0"/>
              <w:rPr>
                <w:sz w:val="20"/>
                <w:szCs w:val="20"/>
                <w:color w:val="auto"/>
              </w:rPr>
            </w:pPr>
            <w:r>
              <w:rPr>
                <w:rFonts w:ascii="Arial" w:cs="Arial" w:eastAsia="Arial" w:hAnsi="Arial"/>
                <w:sz w:val="16"/>
                <w:szCs w:val="16"/>
                <w:color w:val="auto"/>
              </w:rPr>
              <w:t>-575 bps</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0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195,943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154,749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26.6 %</w:t>
            </w:r>
          </w:p>
        </w:tc>
        <w:tc>
          <w:tcPr>
            <w:tcW w:w="580" w:type="dxa"/>
            <w:vAlign w:val="bottom"/>
          </w:tcPr>
          <w:p>
            <w:pPr>
              <w:jc w:val="right"/>
              <w:spacing w:after="0"/>
              <w:rPr>
                <w:sz w:val="20"/>
                <w:szCs w:val="20"/>
                <w:color w:val="auto"/>
              </w:rPr>
            </w:pPr>
            <w:r>
              <w:rPr>
                <w:rFonts w:ascii="Arial" w:cs="Arial" w:eastAsia="Arial" w:hAnsi="Arial"/>
                <w:sz w:val="16"/>
                <w:szCs w:val="16"/>
                <w:color w:val="auto"/>
              </w:rPr>
              <w:t>27.6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53.0 %</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52.8 %</w:t>
            </w:r>
          </w:p>
        </w:tc>
        <w:tc>
          <w:tcPr>
            <w:tcW w:w="880" w:type="dxa"/>
            <w:vAlign w:val="bottom"/>
          </w:tcPr>
          <w:p>
            <w:pPr>
              <w:jc w:val="right"/>
              <w:spacing w:after="0"/>
              <w:rPr>
                <w:sz w:val="20"/>
                <w:szCs w:val="20"/>
                <w:color w:val="auto"/>
              </w:rPr>
            </w:pPr>
            <w:r>
              <w:rPr>
                <w:rFonts w:ascii="Arial" w:cs="Arial" w:eastAsia="Arial" w:hAnsi="Arial"/>
                <w:sz w:val="16"/>
                <w:szCs w:val="16"/>
                <w:color w:val="auto"/>
              </w:rPr>
              <w:t>15 bps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122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180,957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141,439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27.9 %</w:t>
            </w:r>
          </w:p>
        </w:tc>
        <w:tc>
          <w:tcPr>
            <w:tcW w:w="580" w:type="dxa"/>
            <w:vAlign w:val="bottom"/>
          </w:tcPr>
          <w:p>
            <w:pPr>
              <w:jc w:val="right"/>
              <w:spacing w:after="0"/>
              <w:rPr>
                <w:sz w:val="20"/>
                <w:szCs w:val="20"/>
                <w:color w:val="auto"/>
              </w:rPr>
            </w:pPr>
            <w:r>
              <w:rPr>
                <w:rFonts w:ascii="Arial" w:cs="Arial" w:eastAsia="Arial" w:hAnsi="Arial"/>
                <w:sz w:val="16"/>
                <w:szCs w:val="16"/>
                <w:color w:val="auto"/>
              </w:rPr>
              <w:t>29.0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48.9 %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48.3 %</w:t>
            </w:r>
          </w:p>
        </w:tc>
        <w:tc>
          <w:tcPr>
            <w:tcW w:w="880" w:type="dxa"/>
            <w:vAlign w:val="bottom"/>
          </w:tcPr>
          <w:p>
            <w:pPr>
              <w:jc w:val="right"/>
              <w:spacing w:after="0"/>
              <w:rPr>
                <w:sz w:val="20"/>
                <w:szCs w:val="20"/>
                <w:color w:val="auto"/>
              </w:rPr>
            </w:pPr>
            <w:r>
              <w:rPr>
                <w:rFonts w:ascii="Arial" w:cs="Arial" w:eastAsia="Arial" w:hAnsi="Arial"/>
                <w:sz w:val="16"/>
                <w:szCs w:val="16"/>
                <w:color w:val="auto"/>
              </w:rPr>
              <w:t>64 bps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166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151,937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116,875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30.0 %</w:t>
            </w:r>
          </w:p>
        </w:tc>
        <w:tc>
          <w:tcPr>
            <w:tcW w:w="580" w:type="dxa"/>
            <w:vAlign w:val="bottom"/>
          </w:tcPr>
          <w:p>
            <w:pPr>
              <w:jc w:val="right"/>
              <w:spacing w:after="0"/>
              <w:rPr>
                <w:sz w:val="20"/>
                <w:szCs w:val="20"/>
                <w:color w:val="auto"/>
              </w:rPr>
            </w:pPr>
            <w:r>
              <w:rPr>
                <w:rFonts w:ascii="Arial" w:cs="Arial" w:eastAsia="Arial" w:hAnsi="Arial"/>
                <w:sz w:val="16"/>
                <w:szCs w:val="16"/>
                <w:color w:val="auto"/>
              </w:rPr>
              <w:t>31.1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800" w:type="dxa"/>
            <w:vAlign w:val="bottom"/>
          </w:tcPr>
          <w:p>
            <w:pPr>
              <w:ind w:left="20"/>
              <w:spacing w:after="0" w:line="163" w:lineRule="exact"/>
              <w:rPr>
                <w:sz w:val="20"/>
                <w:szCs w:val="20"/>
                <w:color w:val="auto"/>
              </w:rPr>
            </w:pPr>
            <w:r>
              <w:rPr>
                <w:rFonts w:ascii="Arial" w:cs="Arial" w:eastAsia="Arial" w:hAnsi="Arial"/>
                <w:sz w:val="16"/>
                <w:szCs w:val="16"/>
                <w:color w:val="auto"/>
              </w:rPr>
              <w:t>Adjusted Diluted EPS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0.64</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99"/>
              <w:spacing w:after="0"/>
              <w:rPr>
                <w:sz w:val="20"/>
                <w:szCs w:val="20"/>
                <w:color w:val="auto"/>
              </w:rPr>
            </w:pPr>
            <w:r>
              <w:rPr>
                <w:rFonts w:ascii="Arial" w:cs="Arial" w:eastAsia="Arial" w:hAnsi="Arial"/>
                <w:sz w:val="16"/>
                <w:szCs w:val="16"/>
                <w:color w:val="auto"/>
              </w:rPr>
              <w:t>0.49</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30.6 %</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800" w:type="dxa"/>
            <w:vAlign w:val="bottom"/>
          </w:tcPr>
          <w:p>
            <w:pPr>
              <w:ind w:left="20"/>
              <w:spacing w:after="0"/>
              <w:rPr>
                <w:sz w:val="20"/>
                <w:szCs w:val="20"/>
                <w:color w:val="auto"/>
              </w:rPr>
            </w:pPr>
            <w:r>
              <w:rPr>
                <w:rFonts w:ascii="Arial" w:cs="Arial" w:eastAsia="Arial" w:hAnsi="Arial"/>
                <w:sz w:val="11"/>
                <w:szCs w:val="11"/>
                <w:color w:val="auto"/>
              </w:rPr>
              <w:t>(1)</w:t>
            </w:r>
          </w:p>
        </w:tc>
        <w:tc>
          <w:tcPr>
            <w:tcW w:w="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97F"/>
        </w:rPr>
        <w:t>Billy Hult, CEO of Tradeweb:</w:t>
      </w:r>
    </w:p>
    <w:p>
      <w:pPr>
        <w:spacing w:after="0" w:line="95" w:lineRule="exact"/>
        <w:rPr>
          <w:sz w:val="20"/>
          <w:szCs w:val="20"/>
          <w:color w:val="auto"/>
        </w:rPr>
      </w:pPr>
    </w:p>
    <w:p>
      <w:pPr>
        <w:ind w:left="180" w:right="260"/>
        <w:spacing w:after="0" w:line="239" w:lineRule="auto"/>
        <w:rPr>
          <w:sz w:val="20"/>
          <w:szCs w:val="20"/>
          <w:color w:val="auto"/>
        </w:rPr>
      </w:pPr>
      <w:r>
        <w:rPr>
          <w:rFonts w:ascii="Arial" w:cs="Arial" w:eastAsia="Arial" w:hAnsi="Arial"/>
          <w:sz w:val="16"/>
          <w:szCs w:val="16"/>
          <w:color w:val="auto"/>
        </w:rPr>
        <w:t>"Tradeweb performed exceptionally well operationally and financially in 2023, a year with no shortage of macro challenges. We invested in growing our international footprint across new geographies and expanded our product offerings through two strategic acquisitions, r8fin and Yieldbroker. Keeping with this growth mindset, we announced a series of new or expanded partnerships with FTSE Russell, LSEG Data</w:t>
      </w:r>
    </w:p>
    <w:p>
      <w:pPr>
        <w:spacing w:after="0" w:line="2" w:lineRule="exact"/>
        <w:rPr>
          <w:sz w:val="20"/>
          <w:szCs w:val="20"/>
          <w:color w:val="auto"/>
        </w:rPr>
      </w:pPr>
    </w:p>
    <w:p>
      <w:pPr>
        <w:ind w:left="180" w:right="180" w:firstLine="3"/>
        <w:spacing w:after="0" w:line="238" w:lineRule="auto"/>
        <w:tabs>
          <w:tab w:leader="none" w:pos="333" w:val="left"/>
        </w:tabs>
        <w:numPr>
          <w:ilvl w:val="0"/>
          <w:numId w:val="2"/>
        </w:numPr>
        <w:rPr>
          <w:rFonts w:ascii="Arial" w:cs="Arial" w:eastAsia="Arial" w:hAnsi="Arial"/>
          <w:sz w:val="16"/>
          <w:szCs w:val="16"/>
          <w:color w:val="auto"/>
        </w:rPr>
      </w:pPr>
      <w:r>
        <w:rPr>
          <w:rFonts w:ascii="Arial" w:cs="Arial" w:eastAsia="Arial" w:hAnsi="Arial"/>
          <w:sz w:val="16"/>
          <w:szCs w:val="16"/>
          <w:color w:val="auto"/>
        </w:rPr>
        <w:t>Analytics and BlackRock. Capitalizing on organic opportunities, we grew market share across our global businesses and helped clients stay in front of important trends such as multi-asset class and algorithmic trading. In credit, we reached a record 17.2% share of fully electronic U.S. High Grade TRACE in the fourth quarter. Our successes over the past year have led to our 24th consecutive year of revenue growth and profitability, positioning us well for future opportunities. I am proud of what we accomplished in 2023 and pleased with our strong start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311150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00" cy="55753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980" w:type="dxa"/>
            <w:vAlign w:val="bottom"/>
          </w:tcPr>
          <w:p>
            <w:pPr>
              <w:spacing w:after="0"/>
              <w:rPr>
                <w:sz w:val="20"/>
                <w:szCs w:val="20"/>
                <w:color w:val="auto"/>
              </w:rPr>
            </w:pPr>
            <w:r>
              <w:rPr>
                <w:rFonts w:ascii="Arial" w:cs="Arial" w:eastAsia="Arial" w:hAnsi="Arial"/>
                <w:sz w:val="16"/>
                <w:szCs w:val="16"/>
                <w:b w:val="1"/>
                <w:bCs w:val="1"/>
                <w:color w:val="FFFFFF"/>
              </w:rPr>
              <w:t>Product</w:t>
            </w:r>
          </w:p>
        </w:tc>
        <w:tc>
          <w:tcPr>
            <w:tcW w:w="16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FFFFFF"/>
              </w:rPr>
              <w:t>4Q23</w:t>
            </w:r>
          </w:p>
        </w:tc>
        <w:tc>
          <w:tcPr>
            <w:tcW w:w="18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FFFFFF"/>
              </w:rPr>
              <w:t>4Q22</w:t>
            </w:r>
          </w:p>
        </w:tc>
        <w:tc>
          <w:tcPr>
            <w:tcW w:w="11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FFFFFF"/>
              </w:rPr>
              <w:t>YoY</w:t>
            </w:r>
          </w:p>
        </w:tc>
      </w:tr>
      <w:tr>
        <w:trPr>
          <w:trHeight w:val="235"/>
        </w:trPr>
        <w:tc>
          <w:tcPr>
            <w:tcW w:w="1200" w:type="dxa"/>
            <w:vAlign w:val="bottom"/>
          </w:tcPr>
          <w:p>
            <w:pPr>
              <w:ind w:left="20"/>
              <w:spacing w:after="0"/>
              <w:rPr>
                <w:sz w:val="20"/>
                <w:szCs w:val="20"/>
                <w:color w:val="auto"/>
              </w:rPr>
            </w:pPr>
            <w:r>
              <w:rPr>
                <w:rFonts w:ascii="Arial" w:cs="Arial" w:eastAsia="Arial" w:hAnsi="Arial"/>
                <w:sz w:val="16"/>
                <w:szCs w:val="16"/>
                <w:color w:val="auto"/>
              </w:rPr>
              <w:t>Rates</w:t>
            </w:r>
          </w:p>
        </w:tc>
        <w:tc>
          <w:tcPr>
            <w:tcW w:w="980" w:type="dxa"/>
            <w:vAlign w:val="bottom"/>
          </w:tcPr>
          <w:p>
            <w:pPr>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25.1 %</w:t>
            </w:r>
          </w:p>
        </w:tc>
      </w:tr>
      <w:tr>
        <w:trPr>
          <w:trHeight w:val="251"/>
        </w:trPr>
        <w:tc>
          <w:tcPr>
            <w:tcW w:w="120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690</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121.8 %</w:t>
            </w:r>
          </w:p>
        </w:tc>
      </w:tr>
      <w:tr>
        <w:trPr>
          <w:trHeight w:val="244"/>
        </w:trPr>
        <w:tc>
          <w:tcPr>
            <w:tcW w:w="1200" w:type="dxa"/>
            <w:vAlign w:val="bottom"/>
            <w:tcBorders>
              <w:bottom w:val="single" w:sz="8" w:color="083566"/>
            </w:tcBorders>
          </w:tcPr>
          <w:p>
            <w:pPr>
              <w:spacing w:after="0"/>
              <w:rPr>
                <w:sz w:val="21"/>
                <w:szCs w:val="21"/>
                <w:color w:val="auto"/>
              </w:rPr>
            </w:pPr>
          </w:p>
        </w:tc>
        <w:tc>
          <w:tcPr>
            <w:tcW w:w="98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1,088</w:t>
            </w:r>
          </w:p>
        </w:tc>
        <w:tc>
          <w:tcPr>
            <w:tcW w:w="180" w:type="dxa"/>
            <w:vAlign w:val="bottom"/>
            <w:tcBorders>
              <w:bottom w:val="single" w:sz="8" w:color="083566"/>
            </w:tcBorders>
          </w:tcPr>
          <w:p>
            <w:pPr>
              <w:spacing w:after="0"/>
              <w:rPr>
                <w:sz w:val="21"/>
                <w:szCs w:val="21"/>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629</w:t>
            </w:r>
          </w:p>
        </w:tc>
        <w:tc>
          <w:tcPr>
            <w:tcW w:w="1100" w:type="dxa"/>
            <w:vAlign w:val="bottom"/>
            <w:tcBorders>
              <w:bottom w:val="single" w:sz="8" w:color="083566"/>
            </w:tcBorders>
            <w:gridSpan w:val="2"/>
            <w:shd w:val="clear" w:color="auto" w:fill="D5DCE4"/>
          </w:tcPr>
          <w:p>
            <w:pPr>
              <w:jc w:val="right"/>
              <w:spacing w:after="0"/>
              <w:rPr>
                <w:sz w:val="20"/>
                <w:szCs w:val="20"/>
                <w:color w:val="auto"/>
              </w:rPr>
            </w:pPr>
            <w:r>
              <w:rPr>
                <w:rFonts w:ascii="Arial" w:cs="Arial" w:eastAsia="Arial" w:hAnsi="Arial"/>
                <w:sz w:val="16"/>
                <w:szCs w:val="16"/>
                <w:color w:val="auto"/>
              </w:rPr>
              <w:t>72.9 %</w:t>
            </w:r>
          </w:p>
        </w:tc>
      </w:tr>
      <w:tr>
        <w:trPr>
          <w:trHeight w:val="228"/>
        </w:trPr>
        <w:tc>
          <w:tcPr>
            <w:tcW w:w="1200" w:type="dxa"/>
            <w:vAlign w:val="bottom"/>
          </w:tcPr>
          <w:p>
            <w:pPr>
              <w:ind w:left="20"/>
              <w:spacing w:after="0"/>
              <w:rPr>
                <w:sz w:val="20"/>
                <w:szCs w:val="20"/>
                <w:color w:val="auto"/>
              </w:rPr>
            </w:pPr>
            <w:r>
              <w:rPr>
                <w:rFonts w:ascii="Arial" w:cs="Arial" w:eastAsia="Arial" w:hAnsi="Arial"/>
                <w:sz w:val="16"/>
                <w:szCs w:val="16"/>
                <w:color w:val="auto"/>
              </w:rPr>
              <w:t>Credit</w:t>
            </w:r>
          </w:p>
        </w:tc>
        <w:tc>
          <w:tcPr>
            <w:tcW w:w="980" w:type="dxa"/>
            <w:vAlign w:val="bottom"/>
          </w:tcPr>
          <w:p>
            <w:pPr>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41.2 %</w:t>
            </w:r>
          </w:p>
        </w:tc>
      </w:tr>
      <w:tr>
        <w:trPr>
          <w:trHeight w:val="251"/>
        </w:trPr>
        <w:tc>
          <w:tcPr>
            <w:tcW w:w="120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(13.8)%</w:t>
            </w:r>
          </w:p>
        </w:tc>
      </w:tr>
      <w:tr>
        <w:trPr>
          <w:trHeight w:val="244"/>
        </w:trPr>
        <w:tc>
          <w:tcPr>
            <w:tcW w:w="1200" w:type="dxa"/>
            <w:vAlign w:val="bottom"/>
            <w:tcBorders>
              <w:bottom w:val="single" w:sz="8" w:color="083566"/>
            </w:tcBorders>
          </w:tcPr>
          <w:p>
            <w:pPr>
              <w:spacing w:after="0"/>
              <w:rPr>
                <w:sz w:val="21"/>
                <w:szCs w:val="21"/>
                <w:color w:val="auto"/>
              </w:rPr>
            </w:pPr>
          </w:p>
        </w:tc>
        <w:tc>
          <w:tcPr>
            <w:tcW w:w="98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083566"/>
            </w:tcBorders>
          </w:tcPr>
          <w:p>
            <w:pPr>
              <w:spacing w:after="0"/>
              <w:rPr>
                <w:sz w:val="21"/>
                <w:szCs w:val="21"/>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22</w:t>
            </w:r>
          </w:p>
        </w:tc>
        <w:tc>
          <w:tcPr>
            <w:tcW w:w="1100" w:type="dxa"/>
            <w:vAlign w:val="bottom"/>
            <w:tcBorders>
              <w:bottom w:val="single" w:sz="8" w:color="083566"/>
            </w:tcBorders>
            <w:gridSpan w:val="2"/>
            <w:shd w:val="clear" w:color="auto" w:fill="D5DCE4"/>
          </w:tcPr>
          <w:p>
            <w:pPr>
              <w:jc w:val="right"/>
              <w:spacing w:after="0"/>
              <w:rPr>
                <w:sz w:val="20"/>
                <w:szCs w:val="20"/>
                <w:color w:val="auto"/>
              </w:rPr>
            </w:pPr>
            <w:r>
              <w:rPr>
                <w:rFonts w:ascii="Arial" w:cs="Arial" w:eastAsia="Arial" w:hAnsi="Arial"/>
                <w:sz w:val="16"/>
                <w:szCs w:val="16"/>
                <w:color w:val="auto"/>
              </w:rPr>
              <w:t>12.0 %</w:t>
            </w:r>
          </w:p>
        </w:tc>
      </w:tr>
      <w:tr>
        <w:trPr>
          <w:trHeight w:val="228"/>
        </w:trPr>
        <w:tc>
          <w:tcPr>
            <w:tcW w:w="1200" w:type="dxa"/>
            <w:vAlign w:val="bottom"/>
          </w:tcPr>
          <w:p>
            <w:pPr>
              <w:ind w:left="20"/>
              <w:spacing w:after="0"/>
              <w:rPr>
                <w:sz w:val="20"/>
                <w:szCs w:val="20"/>
                <w:color w:val="auto"/>
              </w:rPr>
            </w:pPr>
            <w:r>
              <w:rPr>
                <w:rFonts w:ascii="Arial" w:cs="Arial" w:eastAsia="Arial" w:hAnsi="Arial"/>
                <w:sz w:val="16"/>
                <w:szCs w:val="16"/>
                <w:color w:val="auto"/>
              </w:rPr>
              <w:t>Equities</w:t>
            </w:r>
          </w:p>
        </w:tc>
        <w:tc>
          <w:tcPr>
            <w:tcW w:w="980" w:type="dxa"/>
            <w:vAlign w:val="bottom"/>
          </w:tcPr>
          <w:p>
            <w:pPr>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15.2 %</w:t>
            </w:r>
          </w:p>
        </w:tc>
      </w:tr>
      <w:tr>
        <w:trPr>
          <w:trHeight w:val="251"/>
        </w:trPr>
        <w:tc>
          <w:tcPr>
            <w:tcW w:w="120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63.4 %</w:t>
            </w:r>
          </w:p>
        </w:tc>
      </w:tr>
      <w:tr>
        <w:trPr>
          <w:trHeight w:val="244"/>
        </w:trPr>
        <w:tc>
          <w:tcPr>
            <w:tcW w:w="1200" w:type="dxa"/>
            <w:vAlign w:val="bottom"/>
            <w:tcBorders>
              <w:bottom w:val="single" w:sz="8" w:color="083566"/>
            </w:tcBorders>
          </w:tcPr>
          <w:p>
            <w:pPr>
              <w:spacing w:after="0"/>
              <w:rPr>
                <w:sz w:val="21"/>
                <w:szCs w:val="21"/>
                <w:color w:val="auto"/>
              </w:rPr>
            </w:pPr>
          </w:p>
        </w:tc>
        <w:tc>
          <w:tcPr>
            <w:tcW w:w="98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083566"/>
            </w:tcBorders>
          </w:tcPr>
          <w:p>
            <w:pPr>
              <w:spacing w:after="0"/>
              <w:rPr>
                <w:sz w:val="21"/>
                <w:szCs w:val="21"/>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17</w:t>
            </w:r>
          </w:p>
        </w:tc>
        <w:tc>
          <w:tcPr>
            <w:tcW w:w="1100" w:type="dxa"/>
            <w:vAlign w:val="bottom"/>
            <w:tcBorders>
              <w:bottom w:val="single" w:sz="8" w:color="083566"/>
            </w:tcBorders>
            <w:gridSpan w:val="2"/>
            <w:shd w:val="clear" w:color="auto" w:fill="D5DCE4"/>
          </w:tcPr>
          <w:p>
            <w:pPr>
              <w:jc w:val="right"/>
              <w:spacing w:after="0"/>
              <w:rPr>
                <w:sz w:val="20"/>
                <w:szCs w:val="20"/>
                <w:color w:val="auto"/>
              </w:rPr>
            </w:pPr>
            <w:r>
              <w:rPr>
                <w:rFonts w:ascii="Arial" w:cs="Arial" w:eastAsia="Arial" w:hAnsi="Arial"/>
                <w:sz w:val="16"/>
                <w:szCs w:val="16"/>
                <w:color w:val="auto"/>
              </w:rPr>
              <w:t>36.6 %</w:t>
            </w:r>
          </w:p>
        </w:tc>
      </w:tr>
      <w:tr>
        <w:trPr>
          <w:trHeight w:val="303"/>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541</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35.1 %</w:t>
            </w:r>
          </w:p>
        </w:tc>
      </w:tr>
      <w:tr>
        <w:trPr>
          <w:trHeight w:val="312"/>
        </w:trPr>
        <w:tc>
          <w:tcPr>
            <w:tcW w:w="1200" w:type="dxa"/>
            <w:vAlign w:val="bottom"/>
            <w:tcBorders>
              <w:bottom w:val="single" w:sz="8" w:color="083566"/>
            </w:tcBorders>
          </w:tcPr>
          <w:p>
            <w:pPr>
              <w:spacing w:after="0"/>
              <w:rPr>
                <w:sz w:val="24"/>
                <w:szCs w:val="24"/>
                <w:color w:val="auto"/>
              </w:rPr>
            </w:pPr>
          </w:p>
        </w:tc>
        <w:tc>
          <w:tcPr>
            <w:tcW w:w="98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4"/>
                <w:szCs w:val="24"/>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541</w:t>
            </w:r>
          </w:p>
        </w:tc>
        <w:tc>
          <w:tcPr>
            <w:tcW w:w="180" w:type="dxa"/>
            <w:vAlign w:val="bottom"/>
            <w:tcBorders>
              <w:bottom w:val="single" w:sz="8" w:color="083566"/>
            </w:tcBorders>
          </w:tcPr>
          <w:p>
            <w:pPr>
              <w:spacing w:after="0"/>
              <w:rPr>
                <w:sz w:val="24"/>
                <w:szCs w:val="24"/>
                <w:color w:val="auto"/>
              </w:rPr>
            </w:pPr>
          </w:p>
        </w:tc>
        <w:tc>
          <w:tcPr>
            <w:tcW w:w="64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401</w:t>
            </w:r>
          </w:p>
        </w:tc>
        <w:tc>
          <w:tcPr>
            <w:tcW w:w="9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35.1</w:t>
            </w:r>
          </w:p>
        </w:tc>
        <w:tc>
          <w:tcPr>
            <w:tcW w:w="1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w w:val="84"/>
              </w:rPr>
              <w:t>%</w:t>
            </w:r>
          </w:p>
        </w:tc>
      </w:tr>
      <w:tr>
        <w:trPr>
          <w:trHeight w:val="243"/>
        </w:trPr>
        <w:tc>
          <w:tcPr>
            <w:tcW w:w="1200" w:type="dxa"/>
            <w:vAlign w:val="bottom"/>
          </w:tcPr>
          <w:p>
            <w:pPr>
              <w:spacing w:after="0"/>
              <w:rPr>
                <w:sz w:val="21"/>
                <w:szCs w:val="21"/>
                <w:color w:val="auto"/>
              </w:rPr>
            </w:pPr>
          </w:p>
        </w:tc>
        <w:tc>
          <w:tcPr>
            <w:tcW w:w="98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1,677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1,069</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56.9</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highlight w:val="lightGray"/>
                <w:w w:val="84"/>
              </w:rPr>
              <w:t>%</w:t>
            </w:r>
          </w:p>
        </w:tc>
      </w:tr>
    </w:tbl>
    <w:p>
      <w:pPr>
        <w:spacing w:after="0" w:line="257" w:lineRule="exact"/>
        <w:rPr>
          <w:sz w:val="20"/>
          <w:szCs w:val="20"/>
          <w:color w:val="auto"/>
        </w:rPr>
      </w:pPr>
    </w:p>
    <w:p>
      <w:pPr>
        <w:ind w:left="260" w:right="180" w:hanging="239"/>
        <w:spacing w:after="0" w:line="261" w:lineRule="auto"/>
        <w:tabs>
          <w:tab w:leader="none" w:pos="197"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9" w:lineRule="exact"/>
        <w:rPr>
          <w:rFonts w:ascii="Arial" w:cs="Arial" w:eastAsia="Arial" w:hAnsi="Arial"/>
          <w:sz w:val="12"/>
          <w:szCs w:val="12"/>
          <w:color w:val="auto"/>
        </w:rPr>
      </w:pPr>
    </w:p>
    <w:p>
      <w:pPr>
        <w:ind w:left="200" w:hanging="179"/>
        <w:spacing w:after="0"/>
        <w:tabs>
          <w:tab w:leader="none" w:pos="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00" w:space="180"/>
            <w:col w:w="4900"/>
          </w:cols>
          <w:pgMar w:left="320" w:top="274" w:right="5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 FOURTH QUARTER 2023</w:t>
      </w:r>
    </w:p>
    <w:p>
      <w:pPr>
        <w:spacing w:after="0" w:line="11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$191.7 million in the fourth quarter of 2023 increased 32.0% compared to prior year period (increased 30.1%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72.9% from prior year period, as heightened interest rate volatility and continued market share gains drove record volume in swaps/swaptions ≥ 1-year and U.S. government bonds. European government bonds reported a 21.6% ADV increase from prior year period, supported by sustained rates market volatility and wallet share gains across hedge fund clients, while Mortgages ADV was up 20.8% reflecting increased institutional client activity as well as growing adoption of our specified pool trading platform.</w:t>
      </w:r>
    </w:p>
    <w:p>
      <w:pPr>
        <w:spacing w:after="0" w:line="19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$104.3 million in the fourth quarter of 2023 increased 25.0% compared to prior year period (increased 23.6%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12.0% from prior year period, as strong U.S. credit volumes, most notably record ADV in fully electronic U.S. High Grade credit, reflected continued client adoption across Tradeweb protocols, including request-for-quote (RFQ), Tradeweb AllTrade® and portfolio trading. European Credit ADV was up 28.5% from prior year period, driven by strong activity in portfolio trading, sessions-based trading, RFQ, Tradeweb AllTrade and Tradeweb Automated Intelligent Execution (AiEX). Our share of fully electronic TRACE for U.S. High Grade was a record 17.2%, up 284 bps from prior year period, and U.S. High Yield was 6.7%, unchanged from prior year period.</w:t>
      </w:r>
    </w:p>
    <w:p>
      <w:pPr>
        <w:spacing w:after="0" w:line="2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$26.1 million in the fourth quarter of 2023 increased 13.3% compared to prior year period (increased 10.7%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36.6% from prior year period, driven by strong U.S. and European ETF institutional activity.</w:t>
      </w:r>
    </w:p>
    <w:p>
      <w:pPr>
        <w:spacing w:after="0" w:line="18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$16.6 million in the fourth quarter of 2023 increased 24.9% compared to prior year period (increased 23.8%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35.1% from prior year period, led by record activity in global repurchase agreements and increased client adoption of Tradeweb's electronic trading solutions.</w:t>
      </w:r>
    </w:p>
    <w:p>
      <w:pPr>
        <w:spacing w:after="0" w:line="20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$25.9 million in the fourth quarter of 2023 increased 16.2% compared to prior year period (increased 15.3%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proprietary third party market data fees and increased LSEG market data fees driven primarily by the amended and restated market data license agreement effective as of November 1, 2023 and increased trade reporting services (APA) revenue.</w:t>
      </w:r>
    </w:p>
    <w:p>
      <w:pPr>
        <w:spacing w:after="0" w:line="213"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$5.4 million in the fourth quarter of 2023 remained relatively flat with a decrease of 5.5% compared to prior year period (decreased</w:t>
      </w:r>
      <w:r>
        <w:rPr>
          <w:rFonts w:ascii="Arial" w:cs="Arial" w:eastAsia="Arial" w:hAnsi="Arial"/>
          <w:sz w:val="16"/>
          <w:szCs w:val="16"/>
          <w:b w:val="1"/>
          <w:bCs w:val="1"/>
          <w:color w:val="auto"/>
        </w:rPr>
        <w:t xml:space="preserve"> </w:t>
      </w:r>
      <w:r>
        <w:rPr>
          <w:rFonts w:ascii="Arial" w:cs="Arial" w:eastAsia="Arial" w:hAnsi="Arial"/>
          <w:sz w:val="16"/>
          <w:szCs w:val="16"/>
          <w:color w:val="auto"/>
        </w:rPr>
        <w:t>5.6% on a constant currency basis).</w:t>
      </w:r>
    </w:p>
    <w:p>
      <w:pPr>
        <w:spacing w:after="0" w:line="18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$228.4 million in the fourth quarter of 2023 increased 13.3% compared to $201.5 million in the prior year period, primarily due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headcount and related salaries and benefits as well as increases in incentive compensation expense and commissions tied to our operating performance.</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$189.0 million in the fourth quarter of 2023 increased 24.7% (increased 20.7% on a constant currency basis) compared to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primarily due to higher expenses related to employee compensation and benefits. Please see "Non-GAAP Financial Measures" below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DISCUSSION OF RESULTS: FULL-YEAR 2023</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Tradeweb recorded its 24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 of record revenues for the year ended December 31, 2023, as total revenue increased 12.6% (increased 12.2% on a constant currency basis) to $1.3 billion compared to full year 2022. Revenue was driven by average daily trading volume of more than $1.4 trillion and record activity in each of the following: ADV in U.S. government bonds, European government bonds, swaps/swaptions ≥ 1-year, fully electronic U.S. High Grade and U.S. High Yield credit, European credit, Chinese bonds, U.S. ETFs, equity convertibles/swaps/options, global repurchase agreements and record share of fully electronic U.S. High Grade and U.S. High Yield TRACE of 15.5% and 6.6%, respectively. Net income increased 16.7% to $419.5 million for the year ended December 31, 2023, compared to $359.6 million in 2022. Adjusted EBITDA margin increased to 52.4% for the year ended December 31, 2023 compared to 51.9% in </w:t>
      </w:r>
      <w:r>
        <w:rPr>
          <w:rFonts w:ascii="Arial" w:cs="Arial" w:eastAsia="Arial" w:hAnsi="Arial"/>
          <w:sz w:val="17"/>
          <w:szCs w:val="17"/>
          <w:color w:val="auto"/>
        </w:rPr>
        <w:t>2022</w:t>
      </w:r>
      <w:r>
        <w:rPr>
          <w:rFonts w:ascii="Arial" w:cs="Arial" w:eastAsia="Arial" w:hAnsi="Arial"/>
          <w:sz w:val="16"/>
          <w:szCs w:val="16"/>
          <w:color w:val="auto"/>
        </w:rPr>
        <w:t>, representing an increase of 49 bps (+100 bps on a constant currency basis). Diluted EPS increased 15.5% to $1.71 for the year ended December 31, 2023. Adjusted Diluted EPS increased 18.9% to $2.26 for the year ended December 31, 2023.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2024</w:t>
      </w:r>
    </w:p>
    <w:p>
      <w:pPr>
        <w:spacing w:after="0" w:line="21" w:lineRule="exact"/>
        <w:rPr>
          <w:sz w:val="20"/>
          <w:szCs w:val="20"/>
          <w:color w:val="auto"/>
        </w:rPr>
      </w:pPr>
    </w:p>
    <w:p>
      <w:pPr>
        <w:ind w:left="660" w:right="560" w:hanging="328"/>
        <w:spacing w:after="0" w:line="24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Completed the acquisition of r8fin, a technology provider that specializes in algorithmic-based execution for U.S. Treasuries and interest rate futures.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2023</w:t>
      </w:r>
    </w:p>
    <w:p>
      <w:pPr>
        <w:spacing w:after="0" w:line="2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Announced a strategic partnership with FTSE Russell to develop the next generation of fixed income index pricing and index trading products.</w:t>
      </w:r>
    </w:p>
    <w:p>
      <w:pPr>
        <w:spacing w:after="0" w:line="14" w:lineRule="exact"/>
        <w:rPr>
          <w:rFonts w:ascii="Arial" w:cs="Arial" w:eastAsia="Arial" w:hAnsi="Arial"/>
          <w:sz w:val="16"/>
          <w:szCs w:val="16"/>
          <w:color w:val="auto"/>
        </w:rPr>
      </w:pPr>
    </w:p>
    <w:p>
      <w:pPr>
        <w:ind w:left="660" w:right="6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Introduced the next phase of Tradeweb's previously announced platform integration with BlackRock’s Aladdin order execution management system (OEMS), enabling Aladdin users trading U.S. and European credit access to enhanced liquidity via Tradeweb AllTrade, Tradeweb’s network of anonymous liquidity connecting institutional, wholesale and retail markets.</w:t>
      </w:r>
    </w:p>
    <w:p>
      <w:pPr>
        <w:ind w:left="660" w:right="280" w:hanging="328"/>
        <w:spacing w:after="0" w:line="27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Signed a new market data license agreement with LSEG Data &amp; Analytics (formerly Refinitiv) to distribute certain Tradeweb market data through LSEG’s Enterprise Data Solutions and Workspace.</w:t>
      </w:r>
    </w:p>
    <w:p>
      <w:pPr>
        <w:sectPr>
          <w:pgSz w:w="11900" w:h="16838" w:orient="portrait"/>
          <w:cols w:equalWidth="0" w:num="1">
            <w:col w:w="11240"/>
          </w:cols>
          <w:pgMar w:left="320" w:top="692" w:right="339" w:bottom="1440" w:gutter="0" w:footer="0" w:header="0"/>
        </w:sectPr>
      </w:pPr>
    </w:p>
    <w:p>
      <w:pPr>
        <w:spacing w:after="0" w:line="379"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2</w:t>
      </w:r>
    </w:p>
    <w:p>
      <w:pPr>
        <w:sectPr>
          <w:pgSz w:w="11900" w:h="16838" w:orient="portrait"/>
          <w:cols w:equalWidth="0" w:num="1">
            <w:col w:w="11240"/>
          </w:cols>
          <w:pgMar w:left="320" w:top="692" w:right="339" w:bottom="1440" w:gutter="0" w:footer="0" w:header="0"/>
          <w:type w:val="continuous"/>
        </w:sectPr>
      </w:pPr>
    </w:p>
    <w:bookmarkStart w:id="5" w:name="page6"/>
    <w:bookmarkEnd w:id="5"/>
    <w:p>
      <w:pPr>
        <w:ind w:left="660" w:right="30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OTC Trading Platform of the</w:t>
      </w:r>
      <w:r>
        <w:rPr>
          <w:rFonts w:ascii="Arial" w:cs="Arial" w:eastAsia="Arial" w:hAnsi="Arial"/>
          <w:sz w:val="16"/>
          <w:szCs w:val="16"/>
          <w:color w:val="auto"/>
        </w:rPr>
        <w:t xml:space="preserve"> </w:t>
      </w:r>
      <w:r>
        <w:rPr>
          <w:rFonts w:ascii="Arial" w:cs="Arial" w:eastAsia="Arial" w:hAnsi="Arial"/>
          <w:sz w:val="16"/>
          <w:szCs w:val="16"/>
          <w:i w:val="1"/>
          <w:iCs w:val="1"/>
          <w:color w:val="auto"/>
        </w:rPr>
        <w:t>Year (Risk Awards); Twenty Most Influential in Trading and Technology - Enrico Bruni (Financial News); U.S. Women in Finance Awards, Rising Star - Caroline Baron (Markets Media); U.S. Women in Finance Awards, Trailblazer - Lisa Schirf (Markets Media); ETF Stream Awards, RFQ Platform of the Year (ETF Stream); New Leaders in Trading Awards, Outstanding Fixed Income Trading Platform (The Trade); Most Disruptive Technology Solution (With Intelligence)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$1.7 billion in cash and cash equivalents and an undrawn $500.0 million credit facility at December 31, 2023</w:t>
      </w:r>
    </w:p>
    <w:p>
      <w:pPr>
        <w:spacing w:after="0" w:line="30" w:lineRule="exact"/>
        <w:rPr>
          <w:rFonts w:ascii="Arial" w:cs="Arial" w:eastAsia="Arial" w:hAnsi="Arial"/>
          <w:sz w:val="16"/>
          <w:szCs w:val="16"/>
          <w:color w:val="auto"/>
        </w:rPr>
      </w:pPr>
    </w:p>
    <w:p>
      <w:pPr>
        <w:ind w:left="660" w:right="400" w:hanging="328"/>
        <w:spacing w:after="0" w:line="23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6"/>
          <w:szCs w:val="16"/>
          <w:color w:val="auto"/>
        </w:rPr>
        <w:t>In November 2023, Tradeweb entered into a new five-year $500.0 million unsecured revolving credit facility, replacing our prior facility that was scheduled to mature in April 2024</w:t>
      </w:r>
    </w:p>
    <w:p>
      <w:pPr>
        <w:ind w:left="660" w:right="100" w:hanging="328"/>
        <w:spacing w:after="0" w:line="25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Non-acquisition cash capital expenditures and capitalized software development in the fourth quarter 2023 of $12.2 million and $61.8 million in full-year 2023</w:t>
      </w:r>
    </w:p>
    <w:p>
      <w:pPr>
        <w:spacing w:after="0" w:line="1" w:lineRule="exact"/>
        <w:rPr>
          <w:rFonts w:ascii="Arial" w:cs="Arial" w:eastAsia="Arial" w:hAnsi="Arial"/>
          <w:sz w:val="16"/>
          <w:szCs w:val="16"/>
          <w:color w:val="auto"/>
        </w:rPr>
      </w:pPr>
    </w:p>
    <w:p>
      <w:pPr>
        <w:ind w:left="660" w:right="580" w:hanging="328"/>
        <w:spacing w:after="0" w:line="25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Free cash flow for the year ended December 31, 2023 of $684.3 million, up 19.5% compared to prior year period. See “Non-GAAP Financial Measures” for additional information</w:t>
      </w:r>
    </w:p>
    <w:p>
      <w:pPr>
        <w:ind w:left="660" w:right="340" w:hanging="328"/>
        <w:spacing w:after="0" w:line="25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year ended December 31, 2023, as part of its share repurchase program, Tradeweb purchased a total of 485,730 shares of Class A common stock, at an average price of $72.48, for purchases totaling $35.2 million. As of December 31, 2023, a total of $239.8 million remained available for repurchase pursuant to the current share repurchase program authorization. There were no shares repurchased during the fourth quarter of 2023</w:t>
      </w:r>
    </w:p>
    <w:p>
      <w:pPr>
        <w:ind w:left="660" w:right="280" w:hanging="328"/>
        <w:spacing w:after="0" w:line="25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$2.0 million in shares of Class A common stock were withheld in the fourth quarter of 2023 and $51.5 million in shares of Class A common stock were withheld in the full-year 2023 to satisfy tax obligations related to the exercise of stock options and vesting of restricted stock units and performance-based restricted stock units held by employees</w:t>
      </w:r>
    </w:p>
    <w:p>
      <w:pPr>
        <w:ind w:left="660" w:right="260" w:hanging="328"/>
        <w:spacing w:after="0" w:line="28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of Directors declared a quarterly cash dividend of $0.10 per share of Class A common stock and Class B common stock, a 11.1% per share increase from prior year. The dividend will be payable on March 15, 2024 to stockholders of record as of March 1,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2024 Guidance*</w:t>
      </w:r>
    </w:p>
    <w:p>
      <w:pPr>
        <w:spacing w:after="0" w:line="11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Expenses: $755 - 805 million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Acquisition and Refinitiv Transaction related depreciation and amortization expense: $142 million</w:t>
      </w:r>
    </w:p>
    <w:p>
      <w:pPr>
        <w:spacing w:after="0" w:line="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Assumed non-GAAP tax rate: ~24.5 - 25.5%</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Cash costs of non-acquisition capital expenditures and capitalized software development: $75 - 83 million</w:t>
      </w:r>
    </w:p>
    <w:p>
      <w:pPr>
        <w:spacing w:after="0" w:line="15"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LSEG Market Data Contract Revenues: ~$80M (~$90M in 2025)</w:t>
      </w:r>
    </w:p>
    <w:p>
      <w:pPr>
        <w:spacing w:after="0" w:line="245" w:lineRule="exact"/>
        <w:rPr>
          <w:sz w:val="20"/>
          <w:szCs w:val="20"/>
          <w:color w:val="auto"/>
        </w:rPr>
      </w:pPr>
    </w:p>
    <w:p>
      <w:pPr>
        <w:ind w:left="340" w:right="400"/>
        <w:spacing w:after="0" w:line="271"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2024 Sterling/US$ foreign exchange rate of 1.24 and includes completed M&amp;A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0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Tradeweb Markets will hold a conference call to discuss fourth quarter and full year 2023 results starting at 9:30 AM EST today, February 6, 2024.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p>
    <w:p>
      <w:pPr>
        <w:spacing w:after="0" w:line="1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https://edge.media-server.com/mmc/p/nmw25trc/</w:t>
      </w:r>
    </w:p>
    <w:p>
      <w:pPr>
        <w:spacing w:after="0" w:line="13"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https://register.vevent.com/register/BIe0fa0c25d4934e47a992aa38aac17a1a</w:t>
      </w:r>
      <w:r>
        <w:rPr>
          <w:rFonts w:ascii="Arial" w:cs="Arial" w:eastAsia="Arial" w:hAnsi="Arial"/>
          <w:sz w:val="16"/>
          <w:szCs w:val="16"/>
          <w:color w:val="auto"/>
        </w:rPr>
        <w:t>. Registered participants will receive an email confirmation with a unique PIN to access the conference call.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more than 2,500 clients in more than 70 countries. On average, Tradeweb facilitated more than $1.4 trillion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47"/>
        </w:trPr>
        <w:tc>
          <w:tcPr>
            <w:tcW w:w="4900" w:type="dxa"/>
            <w:vAlign w:val="bottom"/>
            <w:tcBorders>
              <w:bottom w:val="single" w:sz="8" w:color="D5DCE4"/>
            </w:tcBorders>
          </w:tcPr>
          <w:p>
            <w:pPr>
              <w:spacing w:after="0"/>
              <w:rPr>
                <w:sz w:val="21"/>
                <w:szCs w:val="21"/>
                <w:color w:val="auto"/>
              </w:rPr>
            </w:pPr>
          </w:p>
        </w:tc>
        <w:tc>
          <w:tcPr>
            <w:tcW w:w="80" w:type="dxa"/>
            <w:vAlign w:val="bottom"/>
            <w:tcBorders>
              <w:bottom w:val="single" w:sz="8" w:color="D5DCE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4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D5DCE4"/>
          </w:tcPr>
          <w:p>
            <w:pPr>
              <w:spacing w:after="0"/>
              <w:rPr>
                <w:sz w:val="20"/>
                <w:szCs w:val="20"/>
                <w:color w:val="auto"/>
              </w:rPr>
            </w:pPr>
          </w:p>
        </w:tc>
        <w:tc>
          <w:tcPr>
            <w:tcW w:w="260" w:type="dxa"/>
            <w:vAlign w:val="bottom"/>
            <w:shd w:val="clear" w:color="auto" w:fill="D5DCE4"/>
          </w:tcPr>
          <w:p>
            <w:pPr>
              <w:spacing w:after="0"/>
              <w:rPr>
                <w:sz w:val="20"/>
                <w:szCs w:val="20"/>
                <w:color w:val="auto"/>
              </w:rPr>
            </w:pPr>
          </w:p>
        </w:tc>
        <w:tc>
          <w:tcPr>
            <w:tcW w:w="4860" w:type="dxa"/>
            <w:vAlign w:val="bottom"/>
            <w:gridSpan w:val="9"/>
            <w:shd w:val="clear" w:color="auto" w:fill="D5DCE4"/>
          </w:tcPr>
          <w:p>
            <w:pPr>
              <w:jc w:val="right"/>
              <w:ind w:right="79"/>
              <w:spacing w:after="0"/>
              <w:rPr>
                <w:sz w:val="20"/>
                <w:szCs w:val="20"/>
                <w:color w:val="auto"/>
              </w:rPr>
            </w:pPr>
            <w:r>
              <w:rPr>
                <w:rFonts w:ascii="Arial" w:cs="Arial" w:eastAsia="Arial" w:hAnsi="Arial"/>
                <w:sz w:val="16"/>
                <w:szCs w:val="16"/>
                <w:b w:val="1"/>
                <w:bCs w:val="1"/>
                <w:color w:val="auto"/>
              </w:rPr>
              <w:t>(in thousands, except share and per share data)</w:t>
            </w:r>
          </w:p>
        </w:tc>
        <w:tc>
          <w:tcPr>
            <w:tcW w:w="1140" w:type="dxa"/>
            <w:vAlign w:val="bottom"/>
            <w:shd w:val="clear" w:color="auto" w:fill="D5DCE4"/>
          </w:tcPr>
          <w:p>
            <w:pPr>
              <w:spacing w:after="0"/>
              <w:rPr>
                <w:sz w:val="20"/>
                <w:szCs w:val="20"/>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301,800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232,780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1,078,344</w:t>
            </w:r>
          </w:p>
        </w:tc>
        <w:tc>
          <w:tcPr>
            <w:tcW w:w="8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950,269</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47,489</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41,585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183,972</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165,922</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16,367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64,336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62,721</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2,890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2,310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11,567</w:t>
            </w:r>
          </w:p>
        </w:tc>
        <w:tc>
          <w:tcPr>
            <w:tcW w:w="80" w:type="dxa"/>
            <w:vAlign w:val="bottom"/>
            <w:shd w:val="clear" w:color="auto" w:fill="D5DCE4"/>
          </w:tcPr>
          <w:p>
            <w:pPr>
              <w:spacing w:after="0"/>
              <w:rPr>
                <w:sz w:val="21"/>
                <w:szCs w:val="21"/>
                <w:color w:val="auto"/>
              </w:rPr>
            </w:pPr>
          </w:p>
        </w:tc>
        <w:tc>
          <w:tcPr>
            <w:tcW w:w="38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9,869</w:t>
            </w:r>
          </w:p>
        </w:tc>
      </w:tr>
      <w:tr>
        <w:trPr>
          <w:trHeight w:val="233"/>
        </w:trPr>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370,000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293,042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1,338,219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1,188,781</w:t>
            </w:r>
          </w:p>
        </w:tc>
      </w:tr>
      <w:tr>
        <w:trPr>
          <w:trHeight w:val="274"/>
        </w:trPr>
        <w:tc>
          <w:tcPr>
            <w:tcW w:w="49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60" w:type="dxa"/>
            <w:vAlign w:val="bottom"/>
            <w:shd w:val="clear" w:color="auto" w:fill="D5DCE4"/>
          </w:tcPr>
          <w:p>
            <w:pPr>
              <w:spacing w:after="0"/>
              <w:rPr>
                <w:sz w:val="23"/>
                <w:szCs w:val="23"/>
                <w:color w:val="auto"/>
              </w:rPr>
            </w:pPr>
          </w:p>
        </w:tc>
        <w:tc>
          <w:tcPr>
            <w:tcW w:w="124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80" w:type="dxa"/>
            <w:vAlign w:val="bottom"/>
            <w:shd w:val="clear" w:color="auto" w:fill="D5DCE4"/>
          </w:tcPr>
          <w:p>
            <w:pPr>
              <w:spacing w:after="0"/>
              <w:rPr>
                <w:sz w:val="23"/>
                <w:szCs w:val="23"/>
                <w:color w:val="auto"/>
              </w:rPr>
            </w:pPr>
          </w:p>
        </w:tc>
        <w:tc>
          <w:tcPr>
            <w:tcW w:w="1140" w:type="dxa"/>
            <w:vAlign w:val="bottom"/>
            <w:shd w:val="clear" w:color="auto" w:fill="D5DCE4"/>
          </w:tcPr>
          <w:p>
            <w:pPr>
              <w:spacing w:after="0"/>
              <w:rPr>
                <w:sz w:val="23"/>
                <w:szCs w:val="23"/>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125,872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101,820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460,305</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432,421</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47,500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185,350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178,879</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21,505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17,231</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77,506</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65,857</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51,495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46,561</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10,043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11,932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42,364</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37,764</w:t>
            </w:r>
          </w:p>
        </w:tc>
      </w:tr>
      <w:tr>
        <w:trPr>
          <w:trHeight w:val="236"/>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15,930</w:t>
            </w:r>
          </w:p>
        </w:tc>
        <w:tc>
          <w:tcPr>
            <w:tcW w:w="80" w:type="dxa"/>
            <w:vAlign w:val="bottom"/>
            <w:tcBorders>
              <w:bottom w:val="single" w:sz="8" w:color="D5DCE4"/>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14,726</w:t>
            </w:r>
          </w:p>
        </w:tc>
      </w:tr>
      <w:tr>
        <w:trPr>
          <w:trHeight w:val="243"/>
        </w:trPr>
        <w:tc>
          <w:tcPr>
            <w:tcW w:w="490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228,370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201,488</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832,950</w:t>
            </w:r>
          </w:p>
        </w:tc>
        <w:tc>
          <w:tcPr>
            <w:tcW w:w="80" w:type="dxa"/>
            <w:vAlign w:val="bottom"/>
            <w:shd w:val="clear" w:color="auto" w:fill="D5DCE4"/>
          </w:tcPr>
          <w:p>
            <w:pPr>
              <w:spacing w:after="0"/>
              <w:rPr>
                <w:sz w:val="21"/>
                <w:szCs w:val="21"/>
                <w:color w:val="auto"/>
              </w:rPr>
            </w:pPr>
          </w:p>
        </w:tc>
        <w:tc>
          <w:tcPr>
            <w:tcW w:w="38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776,208</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141,630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91,554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505,269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412,573</w:t>
            </w: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Tax receivable agreement liability adjustment</w:t>
            </w:r>
          </w:p>
        </w:tc>
        <w:tc>
          <w:tcPr>
            <w:tcW w:w="80" w:type="dxa"/>
            <w:vAlign w:val="bottom"/>
            <w:shd w:val="clear" w:color="auto" w:fill="DBDBDB"/>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(9,517)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(9,517)</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Net interest income (expense)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65,350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11,907</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 income (loss), net</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(11,100)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(13,122)</w:t>
            </w:r>
          </w:p>
        </w:tc>
        <w:tc>
          <w:tcPr>
            <w:tcW w:w="80" w:type="dxa"/>
            <w:vAlign w:val="bottom"/>
            <w:shd w:val="clear" w:color="auto" w:fill="D5DCE4"/>
          </w:tcPr>
          <w:p>
            <w:pPr>
              <w:spacing w:after="0"/>
              <w:rPr>
                <w:sz w:val="21"/>
                <w:szCs w:val="21"/>
                <w:color w:val="auto"/>
              </w:rPr>
            </w:pPr>
          </w:p>
        </w:tc>
        <w:tc>
          <w:tcPr>
            <w:tcW w:w="38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(1,000)</w:t>
            </w:r>
          </w:p>
        </w:tc>
      </w:tr>
      <w:tr>
        <w:trPr>
          <w:trHeight w:val="233"/>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141,298</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112,607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547,980</w:t>
            </w:r>
          </w:p>
        </w:tc>
        <w:tc>
          <w:tcPr>
            <w:tcW w:w="80" w:type="dxa"/>
            <w:vAlign w:val="bottom"/>
            <w:tcBorders>
              <w:bottom w:val="single" w:sz="8" w:color="D5DCE4"/>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437,133</w:t>
            </w:r>
          </w:p>
        </w:tc>
      </w:tr>
      <w:tr>
        <w:trPr>
          <w:trHeight w:val="24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D5DCE4"/>
          </w:tcPr>
          <w:p>
            <w:pPr>
              <w:spacing w:after="0"/>
              <w:rPr>
                <w:sz w:val="20"/>
                <w:szCs w:val="20"/>
                <w:color w:val="auto"/>
              </w:rPr>
            </w:pPr>
          </w:p>
        </w:tc>
        <w:tc>
          <w:tcPr>
            <w:tcW w:w="260" w:type="dxa"/>
            <w:vAlign w:val="bottom"/>
            <w:tcBorders>
              <w:bottom w:val="single" w:sz="8" w:color="auto"/>
            </w:tcBorders>
            <w:shd w:val="clear" w:color="auto" w:fill="D5DCE4"/>
          </w:tcPr>
          <w:p>
            <w:pPr>
              <w:spacing w:after="0"/>
              <w:rPr>
                <w:sz w:val="20"/>
                <w:szCs w:val="20"/>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(37,557)</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(13,605)</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(128,477)</w:t>
            </w:r>
          </w:p>
        </w:tc>
        <w:tc>
          <w:tcPr>
            <w:tcW w:w="80" w:type="dxa"/>
            <w:vAlign w:val="bottom"/>
            <w:shd w:val="clear" w:color="auto" w:fill="D5DCE4"/>
          </w:tcPr>
          <w:p>
            <w:pPr>
              <w:spacing w:after="0"/>
              <w:rPr>
                <w:sz w:val="20"/>
                <w:szCs w:val="20"/>
                <w:color w:val="auto"/>
              </w:rPr>
            </w:pPr>
          </w:p>
        </w:tc>
        <w:tc>
          <w:tcPr>
            <w:tcW w:w="380" w:type="dxa"/>
            <w:vAlign w:val="bottom"/>
            <w:tcBorders>
              <w:bottom w:val="single" w:sz="8" w:color="auto"/>
            </w:tcBorders>
            <w:shd w:val="clear" w:color="auto" w:fill="D5DCE4"/>
          </w:tcPr>
          <w:p>
            <w:pPr>
              <w:spacing w:after="0"/>
              <w:rPr>
                <w:sz w:val="20"/>
                <w:szCs w:val="20"/>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(77,520)</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103,741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99,002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419,503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359,613</w:t>
            </w:r>
          </w:p>
        </w:tc>
      </w:tr>
      <w:tr>
        <w:trPr>
          <w:trHeight w:val="24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80" w:type="dxa"/>
            <w:vAlign w:val="bottom"/>
            <w:shd w:val="clear" w:color="auto" w:fill="D5DCE4"/>
          </w:tcPr>
          <w:p>
            <w:pPr>
              <w:spacing w:after="0"/>
              <w:rPr>
                <w:sz w:val="20"/>
                <w:szCs w:val="20"/>
                <w:color w:val="auto"/>
              </w:rPr>
            </w:pPr>
          </w:p>
        </w:tc>
        <w:tc>
          <w:tcPr>
            <w:tcW w:w="260" w:type="dxa"/>
            <w:vAlign w:val="bottom"/>
            <w:tcBorders>
              <w:bottom w:val="single" w:sz="8" w:color="auto"/>
            </w:tcBorders>
            <w:shd w:val="clear" w:color="auto" w:fill="D5DCE4"/>
          </w:tcPr>
          <w:p>
            <w:pPr>
              <w:spacing w:after="0"/>
              <w:rPr>
                <w:sz w:val="20"/>
                <w:szCs w:val="20"/>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14,427</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10,056</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54,637</w:t>
            </w:r>
          </w:p>
        </w:tc>
        <w:tc>
          <w:tcPr>
            <w:tcW w:w="80" w:type="dxa"/>
            <w:vAlign w:val="bottom"/>
            <w:shd w:val="clear" w:color="auto" w:fill="D5DCE4"/>
          </w:tcPr>
          <w:p>
            <w:pPr>
              <w:spacing w:after="0"/>
              <w:rPr>
                <w:sz w:val="20"/>
                <w:szCs w:val="20"/>
                <w:color w:val="auto"/>
              </w:rPr>
            </w:pPr>
          </w:p>
        </w:tc>
        <w:tc>
          <w:tcPr>
            <w:tcW w:w="380" w:type="dxa"/>
            <w:vAlign w:val="bottom"/>
            <w:tcBorders>
              <w:bottom w:val="single" w:sz="8" w:color="auto"/>
            </w:tcBorders>
            <w:shd w:val="clear" w:color="auto" w:fill="D5DCE4"/>
          </w:tcPr>
          <w:p>
            <w:pPr>
              <w:spacing w:after="0"/>
              <w:rPr>
                <w:sz w:val="20"/>
                <w:szCs w:val="20"/>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50,275</w:t>
            </w:r>
          </w:p>
        </w:tc>
      </w:tr>
      <w:tr>
        <w:trPr>
          <w:trHeight w:val="24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89,314</w:t>
            </w:r>
          </w:p>
        </w:tc>
        <w:tc>
          <w:tcPr>
            <w:tcW w:w="8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88,946</w:t>
            </w:r>
          </w:p>
        </w:tc>
        <w:tc>
          <w:tcPr>
            <w:tcW w:w="8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364,866</w:t>
            </w:r>
          </w:p>
        </w:tc>
        <w:tc>
          <w:tcPr>
            <w:tcW w:w="8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309,338</w:t>
            </w: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60" w:type="dxa"/>
            <w:vAlign w:val="bottom"/>
            <w:shd w:val="clear" w:color="auto" w:fill="D5DCE4"/>
          </w:tcPr>
          <w:p>
            <w:pPr>
              <w:spacing w:after="0"/>
              <w:rPr>
                <w:sz w:val="19"/>
                <w:szCs w:val="19"/>
                <w:color w:val="auto"/>
              </w:rPr>
            </w:pPr>
          </w:p>
        </w:tc>
        <w:tc>
          <w:tcPr>
            <w:tcW w:w="12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80" w:type="dxa"/>
            <w:vAlign w:val="bottom"/>
            <w:shd w:val="clear" w:color="auto" w:fill="D5DCE4"/>
          </w:tcPr>
          <w:p>
            <w:pPr>
              <w:spacing w:after="0"/>
              <w:rPr>
                <w:sz w:val="19"/>
                <w:szCs w:val="19"/>
                <w:color w:val="auto"/>
              </w:rPr>
            </w:pPr>
          </w:p>
        </w:tc>
        <w:tc>
          <w:tcPr>
            <w:tcW w:w="1140" w:type="dxa"/>
            <w:vAlign w:val="bottom"/>
            <w:shd w:val="clear" w:color="auto" w:fill="D5DCE4"/>
          </w:tcPr>
          <w:p>
            <w:pPr>
              <w:spacing w:after="0"/>
              <w:rPr>
                <w:sz w:val="19"/>
                <w:szCs w:val="19"/>
                <w:color w:val="auto"/>
              </w:rPr>
            </w:pPr>
          </w:p>
        </w:tc>
      </w:tr>
      <w:tr>
        <w:trPr>
          <w:trHeight w:val="202"/>
        </w:trPr>
        <w:tc>
          <w:tcPr>
            <w:tcW w:w="490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
        </w:trPr>
        <w:tc>
          <w:tcPr>
            <w:tcW w:w="49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490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80" w:type="dxa"/>
            <w:vAlign w:val="bottom"/>
            <w:tcBorders>
              <w:bottom w:val="single" w:sz="8" w:color="D5DCE4"/>
            </w:tcBorders>
            <w:shd w:val="clear" w:color="auto" w:fill="D5DCE4"/>
          </w:tcPr>
          <w:p>
            <w:pPr>
              <w:spacing w:after="0"/>
              <w:rPr>
                <w:sz w:val="22"/>
                <w:szCs w:val="22"/>
                <w:color w:val="auto"/>
              </w:rPr>
            </w:pPr>
          </w:p>
        </w:tc>
        <w:tc>
          <w:tcPr>
            <w:tcW w:w="26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0.43</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1.50</w:t>
            </w: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4900" w:type="dxa"/>
            <w:vAlign w:val="bottom"/>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2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80" w:type="dxa"/>
            <w:vAlign w:val="bottom"/>
            <w:shd w:val="clear" w:color="auto" w:fill="D5DCE4"/>
          </w:tcPr>
          <w:p>
            <w:pPr>
              <w:spacing w:after="0"/>
              <w:rPr>
                <w:sz w:val="18"/>
                <w:szCs w:val="18"/>
                <w:color w:val="auto"/>
              </w:rPr>
            </w:pPr>
          </w:p>
        </w:tc>
        <w:tc>
          <w:tcPr>
            <w:tcW w:w="1140" w:type="dxa"/>
            <w:vAlign w:val="bottom"/>
            <w:shd w:val="clear" w:color="auto" w:fill="D5DCE4"/>
          </w:tcPr>
          <w:p>
            <w:pPr>
              <w:spacing w:after="0"/>
              <w:rPr>
                <w:sz w:val="18"/>
                <w:szCs w:val="18"/>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211,843,460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207,978,371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210,796,802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205,576,637</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213,833,001</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210,329,656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212,668,808</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208,400,040</w:t>
            </w:r>
          </w:p>
        </w:tc>
      </w:tr>
    </w:tbl>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0"/>
        <w:spacing w:after="0" w:line="280"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880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3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Quarter Ended December 31,</w:t>
            </w:r>
          </w:p>
        </w:tc>
        <w:tc>
          <w:tcPr>
            <w:tcW w:w="3200" w:type="dxa"/>
            <w:vAlign w:val="bottom"/>
            <w:gridSpan w:val="2"/>
          </w:tcPr>
          <w:p>
            <w:pPr>
              <w:ind w:left="600"/>
              <w:spacing w:after="0"/>
              <w:rPr>
                <w:sz w:val="20"/>
                <w:szCs w:val="20"/>
                <w:color w:val="auto"/>
              </w:rPr>
            </w:pPr>
            <w:r>
              <w:rPr>
                <w:rFonts w:ascii="Arial" w:cs="Arial" w:eastAsia="Arial" w:hAnsi="Arial"/>
                <w:sz w:val="16"/>
                <w:szCs w:val="16"/>
                <w:b w:val="1"/>
                <w:bCs w:val="1"/>
                <w:color w:val="auto"/>
              </w:rPr>
              <w:t>Year Ended December 31,</w:t>
            </w:r>
          </w:p>
        </w:tc>
      </w:tr>
      <w:tr>
        <w:trPr>
          <w:trHeight w:val="328"/>
        </w:trPr>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2023</w:t>
            </w:r>
          </w:p>
        </w:tc>
        <w:tc>
          <w:tcPr>
            <w:tcW w:w="16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33"/>
        </w:trPr>
        <w:tc>
          <w:tcPr>
            <w:tcW w:w="1600" w:type="dxa"/>
            <w:vAlign w:val="bottom"/>
          </w:tcPr>
          <w:p>
            <w:pPr>
              <w:spacing w:after="0"/>
              <w:rPr>
                <w:sz w:val="20"/>
                <w:szCs w:val="20"/>
                <w:color w:val="auto"/>
              </w:rPr>
            </w:pPr>
          </w:p>
        </w:tc>
        <w:tc>
          <w:tcPr>
            <w:tcW w:w="3300" w:type="dxa"/>
            <w:vAlign w:val="bottom"/>
            <w:gridSpan w:val="2"/>
          </w:tcPr>
          <w:p>
            <w:pPr>
              <w:ind w:left="800"/>
              <w:spacing w:after="0"/>
              <w:rPr>
                <w:sz w:val="20"/>
                <w:szCs w:val="20"/>
                <w:color w:val="auto"/>
              </w:rPr>
            </w:pPr>
            <w:r>
              <w:rPr>
                <w:rFonts w:ascii="Arial" w:cs="Arial" w:eastAsia="Arial" w:hAnsi="Arial"/>
                <w:sz w:val="16"/>
                <w:szCs w:val="16"/>
                <w:b w:val="1"/>
                <w:bCs w:val="1"/>
                <w:color w:val="auto"/>
              </w:rPr>
              <w:t>(dollars in thousands)</w:t>
            </w:r>
          </w:p>
        </w:tc>
        <w:tc>
          <w:tcPr>
            <w:tcW w:w="160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4220" w:space="520"/>
            <w:col w:w="650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103,741</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99,002</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419,503</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359,613</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1,631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8,042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(20,285)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(8,400)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(65,350)</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(11,907)</w:t>
            </w:r>
          </w:p>
        </w:tc>
        <w:tc>
          <w:tcPr>
            <w:tcW w:w="0" w:type="dxa"/>
            <w:vAlign w:val="bottom"/>
          </w:tcPr>
          <w:p>
            <w:pPr>
              <w:spacing w:after="0"/>
              <w:rPr>
                <w:sz w:val="1"/>
                <w:szCs w:val="1"/>
                <w:color w:val="auto"/>
              </w:rPr>
            </w:pPr>
          </w:p>
        </w:tc>
      </w:tr>
      <w:tr>
        <w:trPr>
          <w:trHeight w:val="235"/>
        </w:trPr>
        <w:tc>
          <w:tcPr>
            <w:tcW w:w="47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47,500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44,881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185,350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178,879</w:t>
            </w:r>
          </w:p>
        </w:tc>
        <w:tc>
          <w:tcPr>
            <w:tcW w:w="0" w:type="dxa"/>
            <w:vAlign w:val="bottom"/>
          </w:tcPr>
          <w:p>
            <w:pPr>
              <w:spacing w:after="0"/>
              <w:rPr>
                <w:sz w:val="1"/>
                <w:szCs w:val="1"/>
                <w:color w:val="auto"/>
              </w:rPr>
            </w:pPr>
          </w:p>
        </w:tc>
      </w:tr>
      <w:tr>
        <w:trPr>
          <w:trHeight w:val="251"/>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987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6,570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2,947</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20,409</w:t>
            </w:r>
          </w:p>
        </w:tc>
        <w:tc>
          <w:tcPr>
            <w:tcW w:w="0" w:type="dxa"/>
            <w:vAlign w:val="bottom"/>
          </w:tcPr>
          <w:p>
            <w:pPr>
              <w:spacing w:after="0"/>
              <w:rPr>
                <w:sz w:val="1"/>
                <w:szCs w:val="1"/>
                <w:color w:val="auto"/>
              </w:rPr>
            </w:pPr>
          </w:p>
        </w:tc>
      </w:tr>
      <w:tr>
        <w:trPr>
          <w:trHeight w:val="235"/>
        </w:trPr>
        <w:tc>
          <w:tcPr>
            <w:tcW w:w="47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37,557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13,605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128,477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77,520</w:t>
            </w:r>
          </w:p>
        </w:tc>
        <w:tc>
          <w:tcPr>
            <w:tcW w:w="0" w:type="dxa"/>
            <w:vAlign w:val="bottom"/>
          </w:tcPr>
          <w:p>
            <w:pPr>
              <w:spacing w:after="0"/>
              <w:rPr>
                <w:sz w:val="1"/>
                <w:szCs w:val="1"/>
                <w:color w:val="auto"/>
              </w:rPr>
            </w:pPr>
          </w:p>
        </w:tc>
      </w:tr>
      <w:tr>
        <w:trPr>
          <w:trHeight w:val="251"/>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4,195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10,715</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(47)</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4,409</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9,517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(13,653)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9,517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(13,653)</w:t>
            </w:r>
          </w:p>
        </w:tc>
        <w:tc>
          <w:tcPr>
            <w:tcW w:w="0" w:type="dxa"/>
            <w:vAlign w:val="bottom"/>
          </w:tcPr>
          <w:p>
            <w:pPr>
              <w:spacing w:after="0"/>
              <w:rPr>
                <w:sz w:val="1"/>
                <w:szCs w:val="1"/>
                <w:color w:val="auto"/>
              </w:rPr>
            </w:pPr>
          </w:p>
        </w:tc>
      </w:tr>
      <w:tr>
        <w:trPr>
          <w:trHeight w:val="237"/>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40" w:type="dxa"/>
            <w:vAlign w:val="bottom"/>
            <w:tcBorders>
              <w:bottom w:val="single" w:sz="8" w:color="auto"/>
            </w:tcBorders>
            <w:shd w:val="clear" w:color="auto" w:fill="D5DCE4"/>
          </w:tcPr>
          <w:p>
            <w:pPr>
              <w:spacing w:after="0"/>
              <w:rPr>
                <w:sz w:val="20"/>
                <w:szCs w:val="20"/>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11,100</w:t>
            </w:r>
          </w:p>
        </w:tc>
        <w:tc>
          <w:tcPr>
            <w:tcW w:w="80" w:type="dxa"/>
            <w:vAlign w:val="bottom"/>
            <w:shd w:val="clear" w:color="auto" w:fill="D5DCE4"/>
          </w:tcPr>
          <w:p>
            <w:pPr>
              <w:spacing w:after="0"/>
              <w:rPr>
                <w:sz w:val="20"/>
                <w:szCs w:val="20"/>
                <w:color w:val="auto"/>
              </w:rPr>
            </w:pPr>
          </w:p>
        </w:tc>
        <w:tc>
          <w:tcPr>
            <w:tcW w:w="440" w:type="dxa"/>
            <w:vAlign w:val="bottom"/>
            <w:tcBorders>
              <w:bottom w:val="single" w:sz="8" w:color="auto"/>
            </w:tcBorders>
            <w:shd w:val="clear" w:color="auto" w:fill="D5DCE4"/>
          </w:tcPr>
          <w:p>
            <w:pPr>
              <w:spacing w:after="0"/>
              <w:rPr>
                <w:sz w:val="20"/>
                <w:szCs w:val="20"/>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6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13,122</w:t>
            </w:r>
          </w:p>
        </w:tc>
        <w:tc>
          <w:tcPr>
            <w:tcW w:w="80" w:type="dxa"/>
            <w:vAlign w:val="bottom"/>
            <w:shd w:val="clear" w:color="auto" w:fill="D5DCE4"/>
          </w:tcPr>
          <w:p>
            <w:pPr>
              <w:spacing w:after="0"/>
              <w:rPr>
                <w:sz w:val="20"/>
                <w:szCs w:val="20"/>
                <w:color w:val="auto"/>
              </w:rPr>
            </w:pPr>
          </w:p>
        </w:tc>
        <w:tc>
          <w:tcPr>
            <w:tcW w:w="400" w:type="dxa"/>
            <w:vAlign w:val="bottom"/>
            <w:tcBorders>
              <w:bottom w:val="single" w:sz="8" w:color="auto"/>
            </w:tcBorders>
            <w:shd w:val="clear" w:color="auto" w:fill="D5DCE4"/>
          </w:tcPr>
          <w:p>
            <w:pPr>
              <w:spacing w:after="0"/>
              <w:rPr>
                <w:sz w:val="20"/>
                <w:szCs w:val="20"/>
                <w:color w:val="auto"/>
              </w:rPr>
            </w:pP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195,943</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154,749</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701,561</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617,339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Depreciation and amortization</w:t>
            </w: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(47,500)</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(44,881)</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spacing w:after="0"/>
              <w:rPr>
                <w:sz w:val="20"/>
                <w:szCs w:val="20"/>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(185,350)</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(178,879)</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line="175" w:lineRule="exact"/>
              <w:rPr>
                <w:sz w:val="20"/>
                <w:szCs w:val="20"/>
                <w:color w:val="auto"/>
              </w:rPr>
            </w:pPr>
            <w:r>
              <w:rPr>
                <w:rFonts w:ascii="Arial" w:cs="Arial" w:eastAsia="Arial" w:hAnsi="Arial"/>
                <w:sz w:val="16"/>
                <w:szCs w:val="16"/>
                <w:color w:val="auto"/>
              </w:rPr>
              <w:t>Add: D&amp;A related to acquisitions and the Refinitiv Transaction</w:t>
            </w:r>
          </w:p>
        </w:tc>
        <w:tc>
          <w:tcPr>
            <w:tcW w:w="440" w:type="dxa"/>
            <w:vAlign w:val="bottom"/>
          </w:tcPr>
          <w:p>
            <w:pPr>
              <w:spacing w:after="0"/>
              <w:rPr>
                <w:sz w:val="15"/>
                <w:szCs w:val="15"/>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32,514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31,571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color w:val="auto"/>
              </w:rPr>
              <w:t>127,731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6"/>
                <w:szCs w:val="16"/>
                <w:color w:val="auto"/>
              </w:rPr>
              <w:t>126,659</w:t>
            </w:r>
          </w:p>
        </w:tc>
        <w:tc>
          <w:tcPr>
            <w:tcW w:w="0" w:type="dxa"/>
            <w:vAlign w:val="bottom"/>
          </w:tcPr>
          <w:p>
            <w:pPr>
              <w:spacing w:after="0"/>
              <w:rPr>
                <w:sz w:val="1"/>
                <w:szCs w:val="1"/>
                <w:color w:val="auto"/>
              </w:rPr>
            </w:pPr>
          </w:p>
        </w:tc>
      </w:tr>
      <w:tr>
        <w:trPr>
          <w:trHeight w:val="135"/>
        </w:trPr>
        <w:tc>
          <w:tcPr>
            <w:tcW w:w="4740" w:type="dxa"/>
            <w:vAlign w:val="bottom"/>
          </w:tcPr>
          <w:p>
            <w:pPr>
              <w:ind w:left="20"/>
              <w:spacing w:after="0"/>
              <w:rPr>
                <w:sz w:val="20"/>
                <w:szCs w:val="20"/>
                <w:color w:val="auto"/>
              </w:rPr>
            </w:pPr>
            <w:r>
              <w:rPr>
                <w:rFonts w:ascii="Arial" w:cs="Arial" w:eastAsia="Arial" w:hAnsi="Arial"/>
                <w:sz w:val="11"/>
                <w:szCs w:val="11"/>
                <w:color w:val="auto"/>
              </w:rPr>
              <w:t>(5)</w:t>
            </w:r>
          </w:p>
        </w:tc>
        <w:tc>
          <w:tcPr>
            <w:tcW w:w="4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740" w:type="dxa"/>
            <w:vAlign w:val="bottom"/>
            <w:tcBorders>
              <w:bottom w:val="single" w:sz="8" w:color="D5DCE4"/>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47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w:t>
            </w: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180,957</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141,439</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643,942</w:t>
            </w:r>
          </w:p>
        </w:tc>
        <w:tc>
          <w:tcPr>
            <w:tcW w:w="80" w:type="dxa"/>
            <w:vAlign w:val="bottom"/>
            <w:tcBorders>
              <w:bottom w:val="single" w:sz="8" w:color="D5DCE4"/>
            </w:tcBorders>
            <w:shd w:val="clear" w:color="auto" w:fill="D5DCE4"/>
          </w:tcPr>
          <w:p>
            <w:pPr>
              <w:spacing w:after="0"/>
              <w:rPr>
                <w:sz w:val="22"/>
                <w:szCs w:val="22"/>
                <w:color w:val="auto"/>
              </w:rPr>
            </w:pPr>
          </w:p>
        </w:tc>
        <w:tc>
          <w:tcPr>
            <w:tcW w:w="40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565,119</w:t>
            </w:r>
          </w:p>
        </w:tc>
        <w:tc>
          <w:tcPr>
            <w:tcW w:w="0" w:type="dxa"/>
            <w:vAlign w:val="bottom"/>
          </w:tcPr>
          <w:p>
            <w:pPr>
              <w:spacing w:after="0"/>
              <w:rPr>
                <w:sz w:val="1"/>
                <w:szCs w:val="1"/>
                <w:color w:val="auto"/>
              </w:rPr>
            </w:pPr>
          </w:p>
        </w:tc>
      </w:tr>
      <w:tr>
        <w:trPr>
          <w:trHeight w:val="20"/>
        </w:trPr>
        <w:tc>
          <w:tcPr>
            <w:tcW w:w="474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ind w:left="20"/>
              <w:spacing w:after="0"/>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2980" w:type="dxa"/>
            <w:vAlign w:val="bottom"/>
          </w:tcPr>
          <w:p>
            <w:pPr>
              <w:jc w:val="right"/>
              <w:ind w:right="499"/>
              <w:spacing w:after="0"/>
              <w:rPr>
                <w:sz w:val="20"/>
                <w:szCs w:val="20"/>
                <w:color w:val="auto"/>
              </w:rPr>
            </w:pPr>
            <w:r>
              <w:rPr>
                <w:rFonts w:ascii="Arial" w:cs="Arial" w:eastAsia="Arial" w:hAnsi="Arial"/>
                <w:sz w:val="16"/>
                <w:szCs w:val="16"/>
                <w:color w:val="auto"/>
              </w:rPr>
              <w:t>28.0 %</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33.8 %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31.3 %</w:t>
            </w:r>
          </w:p>
        </w:tc>
        <w:tc>
          <w:tcPr>
            <w:tcW w:w="1100" w:type="dxa"/>
            <w:vAlign w:val="bottom"/>
          </w:tcPr>
          <w:p>
            <w:pPr>
              <w:jc w:val="right"/>
              <w:spacing w:after="0"/>
              <w:rPr>
                <w:sz w:val="20"/>
                <w:szCs w:val="20"/>
                <w:color w:val="auto"/>
              </w:rPr>
            </w:pPr>
            <w:r>
              <w:rPr>
                <w:rFonts w:ascii="Arial" w:cs="Arial" w:eastAsia="Arial" w:hAnsi="Arial"/>
                <w:sz w:val="16"/>
                <w:szCs w:val="16"/>
                <w:color w:val="auto"/>
              </w:rPr>
              <w:t>30.3 %</w:t>
            </w:r>
          </w:p>
        </w:tc>
      </w:tr>
      <w:tr>
        <w:trPr>
          <w:trHeight w:val="243"/>
        </w:trPr>
        <w:tc>
          <w:tcPr>
            <w:tcW w:w="38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298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53.0 %</w:t>
            </w:r>
          </w:p>
        </w:tc>
        <w:tc>
          <w:tcPr>
            <w:tcW w:w="164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52.8 %</w:t>
            </w:r>
          </w:p>
        </w:tc>
        <w:tc>
          <w:tcPr>
            <w:tcW w:w="1640" w:type="dxa"/>
            <w:vAlign w:val="bottom"/>
            <w:shd w:val="clear" w:color="auto" w:fill="D5DCE4"/>
          </w:tcPr>
          <w:p>
            <w:pPr>
              <w:jc w:val="right"/>
              <w:ind w:right="479"/>
              <w:spacing w:after="0"/>
              <w:rPr>
                <w:sz w:val="20"/>
                <w:szCs w:val="20"/>
                <w:color w:val="auto"/>
              </w:rPr>
            </w:pPr>
            <w:r>
              <w:rPr>
                <w:rFonts w:ascii="Arial" w:cs="Arial" w:eastAsia="Arial" w:hAnsi="Arial"/>
                <w:sz w:val="16"/>
                <w:szCs w:val="16"/>
                <w:color w:val="auto"/>
              </w:rPr>
              <w:t>52.4 %</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51.9 %</w:t>
            </w:r>
          </w:p>
        </w:tc>
      </w:tr>
      <w:tr>
        <w:trPr>
          <w:trHeight w:val="298"/>
        </w:trPr>
        <w:tc>
          <w:tcPr>
            <w:tcW w:w="388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2980" w:type="dxa"/>
            <w:vAlign w:val="bottom"/>
          </w:tcPr>
          <w:p>
            <w:pPr>
              <w:jc w:val="right"/>
              <w:ind w:right="499"/>
              <w:spacing w:after="0"/>
              <w:rPr>
                <w:sz w:val="20"/>
                <w:szCs w:val="20"/>
                <w:color w:val="auto"/>
              </w:rPr>
            </w:pPr>
            <w:r>
              <w:rPr>
                <w:rFonts w:ascii="Arial" w:cs="Arial" w:eastAsia="Arial" w:hAnsi="Arial"/>
                <w:sz w:val="16"/>
                <w:szCs w:val="16"/>
                <w:color w:val="auto"/>
              </w:rPr>
              <w:t>48.9 %</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48.3 %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48.1 %</w:t>
            </w:r>
          </w:p>
        </w:tc>
        <w:tc>
          <w:tcPr>
            <w:tcW w:w="1100" w:type="dxa"/>
            <w:vAlign w:val="bottom"/>
          </w:tcPr>
          <w:p>
            <w:pPr>
              <w:jc w:val="right"/>
              <w:spacing w:after="0"/>
              <w:rPr>
                <w:sz w:val="20"/>
                <w:szCs w:val="20"/>
                <w:color w:val="auto"/>
              </w:rPr>
            </w:pPr>
            <w:r>
              <w:rPr>
                <w:rFonts w:ascii="Arial" w:cs="Arial" w:eastAsia="Arial" w:hAnsi="Arial"/>
                <w:sz w:val="16"/>
                <w:szCs w:val="16"/>
                <w:color w:val="auto"/>
              </w:rPr>
              <w:t>47.5 %</w:t>
            </w:r>
          </w:p>
        </w:tc>
      </w:tr>
    </w:tbl>
    <w:p>
      <w:pPr>
        <w:spacing w:after="0" w:line="58" w:lineRule="exact"/>
        <w:rPr>
          <w:sz w:val="20"/>
          <w:szCs w:val="20"/>
          <w:color w:val="auto"/>
        </w:rPr>
      </w:pPr>
    </w:p>
    <w:p>
      <w:pPr>
        <w:ind w:left="440" w:right="40" w:hanging="414"/>
        <w:spacing w:after="0" w:line="181" w:lineRule="auto"/>
        <w:tabs>
          <w:tab w:leader="none" w:pos="440" w:val="left"/>
        </w:tabs>
        <w:numPr>
          <w:ilvl w:val="0"/>
          <w:numId w:val="10"/>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jc w:val="both"/>
        <w:ind w:left="440" w:right="320" w:hanging="414"/>
        <w:spacing w:after="0" w:line="258"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 and year ended December 31, 2022, this adjustment also includes $5.6 million and $15.0 million, respectively, of non-cash accelerated stock-based compensation expense and related payroll taxes associated with our retired CEO.</w:t>
      </w:r>
    </w:p>
    <w:p>
      <w:pPr>
        <w:spacing w:after="0" w:line="27" w:lineRule="exact"/>
        <w:rPr>
          <w:rFonts w:ascii="Arial" w:cs="Arial" w:eastAsia="Arial" w:hAnsi="Arial"/>
          <w:sz w:val="12"/>
          <w:szCs w:val="12"/>
          <w:color w:val="auto"/>
        </w:rPr>
      </w:pPr>
    </w:p>
    <w:p>
      <w:pPr>
        <w:ind w:left="440" w:right="460" w:hanging="414"/>
        <w:spacing w:after="0" w:line="282"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3" w:lineRule="exact"/>
        <w:rPr>
          <w:rFonts w:ascii="Arial" w:cs="Arial" w:eastAsia="Arial" w:hAnsi="Arial"/>
          <w:sz w:val="12"/>
          <w:szCs w:val="12"/>
          <w:color w:val="auto"/>
        </w:rPr>
      </w:pPr>
    </w:p>
    <w:p>
      <w:pPr>
        <w:ind w:left="440" w:right="200" w:hanging="414"/>
        <w:spacing w:after="0" w:line="282"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3" w:lineRule="exact"/>
        <w:rPr>
          <w:rFonts w:ascii="Arial" w:cs="Arial" w:eastAsia="Arial" w:hAnsi="Arial"/>
          <w:sz w:val="12"/>
          <w:szCs w:val="12"/>
          <w:color w:val="auto"/>
        </w:rPr>
      </w:pPr>
    </w:p>
    <w:p>
      <w:pPr>
        <w:ind w:left="440" w:right="680" w:hanging="414"/>
        <w:spacing w:after="0" w:line="316" w:lineRule="auto"/>
        <w:tabs>
          <w:tab w:leader="none" w:pos="4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r>
        <w:rPr>
          <w:rFonts w:ascii="Arial" w:cs="Arial" w:eastAsia="Arial" w:hAnsi="Arial"/>
          <w:sz w:val="13"/>
          <w:szCs w:val="13"/>
          <w:color w:val="auto"/>
        </w:rPr>
        <w:t>.</w:t>
      </w:r>
    </w:p>
    <w:p>
      <w:pPr>
        <w:spacing w:after="0" w:line="1" w:lineRule="exact"/>
        <w:rPr>
          <w:rFonts w:ascii="Arial" w:cs="Arial" w:eastAsia="Arial" w:hAnsi="Arial"/>
          <w:sz w:val="11"/>
          <w:szCs w:val="11"/>
          <w:color w:val="auto"/>
        </w:rPr>
      </w:pPr>
    </w:p>
    <w:p>
      <w:pPr>
        <w:ind w:left="440" w:hanging="41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w:t>
            </w:r>
          </w:p>
        </w:tc>
        <w:tc>
          <w:tcPr>
            <w:tcW w:w="280" w:type="dxa"/>
            <w:vAlign w:val="bottom"/>
          </w:tcPr>
          <w:p>
            <w:pPr>
              <w:spacing w:after="0"/>
              <w:rPr>
                <w:sz w:val="21"/>
                <w:szCs w:val="21"/>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21"/>
                <w:szCs w:val="21"/>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26"/>
        </w:trPr>
        <w:tc>
          <w:tcPr>
            <w:tcW w:w="50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Diluted EPS</w:t>
            </w:r>
          </w:p>
        </w:tc>
        <w:tc>
          <w:tcPr>
            <w:tcW w:w="280" w:type="dxa"/>
            <w:vAlign w:val="bottom"/>
          </w:tcPr>
          <w:p>
            <w:pPr>
              <w:spacing w:after="0"/>
              <w:rPr>
                <w:sz w:val="19"/>
                <w:szCs w:val="19"/>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37"/>
        </w:trPr>
        <w:tc>
          <w:tcPr>
            <w:tcW w:w="4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7"/>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42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shd w:val="clear" w:color="auto" w:fill="D5DCE4"/>
          </w:tcPr>
          <w:p>
            <w:pPr>
              <w:spacing w:after="0"/>
              <w:rPr>
                <w:sz w:val="23"/>
                <w:szCs w:val="23"/>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D5DCE4"/>
          </w:tcPr>
          <w:p>
            <w:pPr>
              <w:spacing w:after="0"/>
              <w:rPr>
                <w:sz w:val="23"/>
                <w:szCs w:val="23"/>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89,314</w:t>
            </w:r>
          </w:p>
        </w:tc>
        <w:tc>
          <w:tcPr>
            <w:tcW w:w="42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88,946</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364,866</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309,338</w:t>
            </w:r>
          </w:p>
        </w:tc>
      </w:tr>
      <w:tr>
        <w:trPr>
          <w:trHeight w:val="243"/>
        </w:trPr>
        <w:tc>
          <w:tcPr>
            <w:tcW w:w="50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14,427</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10,056</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54,637</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50,275</w:t>
            </w:r>
          </w:p>
        </w:tc>
      </w:tr>
      <w:tr>
        <w:trPr>
          <w:trHeight w:val="236"/>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103,741</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99,002</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419,503</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359,613</w:t>
            </w:r>
          </w:p>
        </w:tc>
      </w:tr>
      <w:tr>
        <w:trPr>
          <w:trHeight w:val="235"/>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128,477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77,520</w:t>
            </w:r>
          </w:p>
        </w:tc>
      </w:tr>
      <w:tr>
        <w:trPr>
          <w:trHeight w:val="251"/>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1,631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1,029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8,042</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1,069</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32,514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31,571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127,731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126,659</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6,570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2,947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20,409</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4,409</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9,517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9,517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r>
      <w:tr>
        <w:trPr>
          <w:trHeight w:val="236"/>
        </w:trPr>
        <w:tc>
          <w:tcPr>
            <w:tcW w:w="50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 (income) loss, net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201,242</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149,839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709,292</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577,026</w:t>
            </w:r>
          </w:p>
        </w:tc>
      </w:tr>
      <w:tr>
        <w:trPr>
          <w:trHeight w:val="243"/>
        </w:trPr>
        <w:tc>
          <w:tcPr>
            <w:tcW w:w="50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(49,305)</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(32,964)</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(173,777)</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(126,946)</w:t>
            </w:r>
          </w:p>
        </w:tc>
      </w:tr>
      <w:tr>
        <w:trPr>
          <w:trHeight w:val="250"/>
        </w:trPr>
        <w:tc>
          <w:tcPr>
            <w:tcW w:w="50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Net Income</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151,937</w:t>
            </w:r>
          </w:p>
        </w:tc>
        <w:tc>
          <w:tcPr>
            <w:tcW w:w="80" w:type="dxa"/>
            <w:vAlign w:val="bottom"/>
            <w:tcBorders>
              <w:bottom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116,875</w:t>
            </w:r>
          </w:p>
        </w:tc>
        <w:tc>
          <w:tcPr>
            <w:tcW w:w="80" w:type="dxa"/>
            <w:vAlign w:val="bottom"/>
            <w:tcBorders>
              <w:bottom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535,515</w:t>
            </w:r>
          </w:p>
        </w:tc>
        <w:tc>
          <w:tcPr>
            <w:tcW w:w="80" w:type="dxa"/>
            <w:vAlign w:val="bottom"/>
            <w:tcBorders>
              <w:bottom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450,080</w:t>
            </w: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000" w:type="dxa"/>
            <w:vAlign w:val="bottom"/>
            <w:gridSpan w:val="2"/>
          </w:tcPr>
          <w:p>
            <w:pPr>
              <w:ind w:left="20"/>
              <w:spacing w:after="0" w:line="224"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type w:val="continuous"/>
        </w:sectPr>
      </w:pPr>
    </w:p>
    <w:p>
      <w:pPr>
        <w:spacing w:after="0" w:line="22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92" w:right="339" w:bottom="1440" w:gutter="0" w:footer="0" w:header="0"/>
          <w:type w:val="continuous"/>
        </w:sectPr>
      </w:pPr>
    </w:p>
    <w:bookmarkStart w:id="8" w:name="page9"/>
    <w:bookmarkEnd w:id="8"/>
    <w:p>
      <w:pPr>
        <w:ind w:left="440" w:right="10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40" w:lineRule="exact"/>
        <w:rPr>
          <w:rFonts w:ascii="Arial" w:cs="Arial" w:eastAsia="Arial" w:hAnsi="Arial"/>
          <w:sz w:val="12"/>
          <w:szCs w:val="12"/>
          <w:color w:val="auto"/>
        </w:rPr>
      </w:pPr>
    </w:p>
    <w:p>
      <w:pPr>
        <w:ind w:left="440" w:right="4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40" w:lineRule="exact"/>
        <w:rPr>
          <w:rFonts w:ascii="Arial" w:cs="Arial" w:eastAsia="Arial" w:hAnsi="Arial"/>
          <w:sz w:val="12"/>
          <w:szCs w:val="12"/>
          <w:color w:val="auto"/>
        </w:rPr>
      </w:pPr>
    </w:p>
    <w:p>
      <w:pPr>
        <w:ind w:left="440" w:right="680" w:hanging="414"/>
        <w:spacing w:after="0" w:line="304" w:lineRule="auto"/>
        <w:tabs>
          <w:tab w:leader="none" w:pos="4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jc w:val="both"/>
        <w:ind w:left="440" w:right="32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 and year ended December 31, 2022, this adjustment also includes $5.6 million and $15.0 million, respectively, of non-cash accelerated stock-based compensation expense and related payroll taxes associated with our retired CEO.</w:t>
      </w:r>
    </w:p>
    <w:p>
      <w:pPr>
        <w:spacing w:after="0" w:line="27" w:lineRule="exact"/>
        <w:rPr>
          <w:rFonts w:ascii="Arial" w:cs="Arial" w:eastAsia="Arial" w:hAnsi="Arial"/>
          <w:sz w:val="12"/>
          <w:szCs w:val="12"/>
          <w:color w:val="auto"/>
        </w:rPr>
      </w:pPr>
    </w:p>
    <w:p>
      <w:pPr>
        <w:ind w:left="440" w:right="46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40" w:lineRule="exact"/>
        <w:rPr>
          <w:rFonts w:ascii="Arial" w:cs="Arial" w:eastAsia="Arial" w:hAnsi="Arial"/>
          <w:sz w:val="12"/>
          <w:szCs w:val="12"/>
          <w:color w:val="auto"/>
        </w:rPr>
      </w:pPr>
    </w:p>
    <w:p>
      <w:pPr>
        <w:ind w:left="440" w:right="20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27" w:lineRule="exact"/>
        <w:rPr>
          <w:rFonts w:ascii="Arial" w:cs="Arial" w:eastAsia="Arial" w:hAnsi="Arial"/>
          <w:sz w:val="12"/>
          <w:szCs w:val="12"/>
          <w:color w:val="auto"/>
        </w:rPr>
      </w:pPr>
    </w:p>
    <w:p>
      <w:pPr>
        <w:ind w:left="440" w:right="40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24.5% applied to Adjusted Net Income before income taxes for the quarter and year ended December 31, 2023 and 22.0% for the quarter and year ended December 31, 2022.</w:t>
      </w:r>
    </w:p>
    <w:p>
      <w:pPr>
        <w:spacing w:after="0" w:line="27" w:lineRule="exact"/>
        <w:rPr>
          <w:rFonts w:ascii="Arial" w:cs="Arial" w:eastAsia="Arial" w:hAnsi="Arial"/>
          <w:sz w:val="12"/>
          <w:szCs w:val="12"/>
          <w:color w:val="auto"/>
        </w:rPr>
      </w:pPr>
    </w:p>
    <w:p>
      <w:pPr>
        <w:ind w:left="440" w:right="400" w:hanging="414"/>
        <w:spacing w:after="0" w:line="258"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861" w:right="339" w:bottom="1440" w:gutter="0" w:footer="0" w:header="0"/>
        </w:sectPr>
      </w:pPr>
    </w:p>
    <w:p>
      <w:pPr>
        <w:spacing w:after="0" w:line="77"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4"/>
          </w:tcPr>
          <w:p>
            <w:pPr>
              <w:ind w:left="440"/>
              <w:spacing w:after="0"/>
              <w:rPr>
                <w:sz w:val="20"/>
                <w:szCs w:val="20"/>
                <w:color w:val="auto"/>
              </w:rPr>
            </w:pPr>
            <w:r>
              <w:rPr>
                <w:rFonts w:ascii="Arial" w:cs="Arial" w:eastAsia="Arial" w:hAnsi="Arial"/>
                <w:sz w:val="16"/>
                <w:szCs w:val="16"/>
                <w:b w:val="1"/>
                <w:bCs w:val="1"/>
                <w:color w:val="auto"/>
              </w:rPr>
              <w:t>Quarter Ended December 31,</w:t>
            </w:r>
          </w:p>
        </w:tc>
        <w:tc>
          <w:tcPr>
            <w:tcW w:w="310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328"/>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4"/>
                <w:szCs w:val="24"/>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427"/>
        </w:trPr>
        <w:tc>
          <w:tcPr>
            <w:tcW w:w="1500" w:type="dxa"/>
            <w:vAlign w:val="bottom"/>
          </w:tcPr>
          <w:p>
            <w:pPr>
              <w:jc w:val="right"/>
              <w:spacing w:after="0"/>
              <w:rPr>
                <w:sz w:val="20"/>
                <w:szCs w:val="20"/>
                <w:color w:val="auto"/>
              </w:rPr>
            </w:pPr>
            <w:r>
              <w:rPr>
                <w:rFonts w:ascii="Arial" w:cs="Arial" w:eastAsia="Arial" w:hAnsi="Arial"/>
                <w:sz w:val="16"/>
                <w:szCs w:val="16"/>
                <w:color w:val="auto"/>
              </w:rPr>
              <w:t>213,833,001</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210,329,656</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212,668,808</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208,400,040</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281,059</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382,800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270,249</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193,441</w:t>
            </w:r>
          </w:p>
        </w:tc>
      </w:tr>
      <w:tr>
        <w:trPr>
          <w:trHeight w:val="446"/>
        </w:trPr>
        <w:tc>
          <w:tcPr>
            <w:tcW w:w="1500" w:type="dxa"/>
            <w:vAlign w:val="bottom"/>
          </w:tcPr>
          <w:p>
            <w:pPr>
              <w:jc w:val="right"/>
              <w:spacing w:after="0"/>
              <w:rPr>
                <w:sz w:val="20"/>
                <w:szCs w:val="20"/>
                <w:color w:val="auto"/>
              </w:rPr>
            </w:pPr>
            <w:r>
              <w:rPr>
                <w:rFonts w:ascii="Arial" w:cs="Arial" w:eastAsia="Arial" w:hAnsi="Arial"/>
                <w:sz w:val="16"/>
                <w:szCs w:val="16"/>
                <w:color w:val="auto"/>
              </w:rPr>
              <w:t>23,079,809</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26,347,881</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23,902,379</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28,830,686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-272415</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-718185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140"/>
            <w:col w:w="6280"/>
          </w:cols>
          <w:pgMar w:left="320" w:top="86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237,193,869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237,060,337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236,841,436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237,424,167</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151,937</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116,875</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535,515</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450,080</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Represents weighted average unvested restricted stock units and unsettled vested performance-based restricted stock units issued to certain retired or terminated employees that are entitled to non-forfeitable</w:t>
      </w:r>
    </w:p>
    <w:p>
      <w:pPr>
        <w:spacing w:after="0" w:line="22" w:lineRule="exact"/>
        <w:rPr>
          <w:sz w:val="20"/>
          <w:szCs w:val="20"/>
          <w:color w:val="auto"/>
        </w:rPr>
      </w:pPr>
    </w:p>
    <w:p>
      <w:pPr>
        <w:ind w:left="440" w:right="180" w:hanging="414"/>
        <w:spacing w:after="0" w:line="258"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dividend equivalent 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440" w:right="320" w:hanging="414"/>
        <w:spacing w:after="0" w:line="282"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520" w:type="dxa"/>
            <w:vAlign w:val="bottom"/>
          </w:tcPr>
          <w:p>
            <w:pPr>
              <w:spacing w:after="0"/>
              <w:rPr>
                <w:sz w:val="19"/>
                <w:szCs w:val="19"/>
                <w:color w:val="auto"/>
              </w:rPr>
            </w:pPr>
          </w:p>
        </w:tc>
        <w:tc>
          <w:tcPr>
            <w:tcW w:w="25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47"/>
        </w:trPr>
        <w:tc>
          <w:tcPr>
            <w:tcW w:w="50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260" w:type="dxa"/>
            <w:vAlign w:val="bottom"/>
          </w:tcPr>
          <w:p>
            <w:pPr>
              <w:spacing w:after="0"/>
              <w:rPr>
                <w:sz w:val="21"/>
                <w:szCs w:val="21"/>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37"/>
        </w:trPr>
        <w:tc>
          <w:tcPr>
            <w:tcW w:w="4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228,370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201,488</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832,950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776,208</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2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(32,514)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(31,571)</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(127,731)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(126,659)</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(6,570)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(20,409)</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26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(4,195)</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(10,715)</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(4,409)</w:t>
            </w: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189,043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151,603</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694,277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623,662</w:t>
            </w: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440" w:right="40" w:hanging="414"/>
        <w:spacing w:after="0" w:line="181" w:lineRule="auto"/>
        <w:tabs>
          <w:tab w:leader="none" w:pos="440" w:val="left"/>
        </w:tabs>
        <w:numPr>
          <w:ilvl w:val="0"/>
          <w:numId w:val="13"/>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51" w:lineRule="exact"/>
        <w:rPr>
          <w:rFonts w:ascii="Arial" w:cs="Arial" w:eastAsia="Arial" w:hAnsi="Arial"/>
          <w:sz w:val="22"/>
          <w:szCs w:val="22"/>
          <w:color w:val="auto"/>
          <w:vertAlign w:val="subscript"/>
        </w:rPr>
      </w:pPr>
    </w:p>
    <w:p>
      <w:pPr>
        <w:ind w:left="440" w:right="680" w:hanging="414"/>
        <w:spacing w:after="0" w:line="304" w:lineRule="auto"/>
        <w:tabs>
          <w:tab w:leader="none" w:pos="4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jc w:val="both"/>
        <w:ind w:left="440" w:right="320" w:hanging="414"/>
        <w:spacing w:after="0" w:line="258"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 and year ended December 31, 2022, this adjustment also includes $5.6 million and $15.0 million, respectively, of non-cash accelerated stock-based compensation expense and related payroll taxes associated with our retired CEO.</w:t>
      </w:r>
    </w:p>
    <w:p>
      <w:pPr>
        <w:spacing w:after="0" w:line="27" w:lineRule="exact"/>
        <w:rPr>
          <w:rFonts w:ascii="Arial" w:cs="Arial" w:eastAsia="Arial" w:hAnsi="Arial"/>
          <w:sz w:val="12"/>
          <w:szCs w:val="12"/>
          <w:color w:val="auto"/>
        </w:rPr>
      </w:pPr>
    </w:p>
    <w:p>
      <w:pPr>
        <w:ind w:left="440" w:right="460" w:hanging="414"/>
        <w:spacing w:after="0" w:line="258"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44"/>
        </w:trPr>
        <w:tc>
          <w:tcPr>
            <w:tcW w:w="8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3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D5DCE4"/>
            </w:tcBorders>
          </w:tcPr>
          <w:p>
            <w:pPr>
              <w:spacing w:after="0"/>
              <w:rPr>
                <w:sz w:val="20"/>
                <w:szCs w:val="20"/>
                <w:color w:val="auto"/>
              </w:rPr>
            </w:pPr>
          </w:p>
        </w:tc>
        <w:tc>
          <w:tcPr>
            <w:tcW w:w="1800" w:type="dxa"/>
            <w:vAlign w:val="bottom"/>
            <w:tcBorders>
              <w:bottom w:val="single" w:sz="8" w:color="D5DCE4"/>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Borders>
              <w:bottom w:val="single" w:sz="8" w:color="D5DCE4"/>
            </w:tcBorders>
          </w:tcPr>
          <w:p>
            <w:pPr>
              <w:spacing w:after="0"/>
              <w:rPr>
                <w:sz w:val="20"/>
                <w:szCs w:val="20"/>
                <w:color w:val="auto"/>
              </w:rPr>
            </w:pPr>
          </w:p>
        </w:tc>
      </w:tr>
      <w:tr>
        <w:trPr>
          <w:trHeight w:val="240"/>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746,089</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632,822</w:t>
            </w:r>
          </w:p>
        </w:tc>
      </w:tr>
      <w:tr>
        <w:trPr>
          <w:trHeight w:val="235"/>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(43,235)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(36,882)</w:t>
            </w:r>
          </w:p>
        </w:tc>
      </w:tr>
      <w:tr>
        <w:trPr>
          <w:trHeight w:val="244"/>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(18,529)</w:t>
            </w:r>
          </w:p>
        </w:tc>
        <w:tc>
          <w:tcPr>
            <w:tcW w:w="80" w:type="dxa"/>
            <w:vAlign w:val="bottom"/>
            <w:shd w:val="clear" w:color="auto" w:fill="D5DCE4"/>
          </w:tcPr>
          <w:p>
            <w:pPr>
              <w:spacing w:after="0"/>
              <w:rPr>
                <w:sz w:val="21"/>
                <w:szCs w:val="21"/>
                <w:color w:val="auto"/>
              </w:rPr>
            </w:pPr>
          </w:p>
        </w:tc>
        <w:tc>
          <w:tcPr>
            <w:tcW w:w="56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(23,214)</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684,325</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572,726</w:t>
            </w: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86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280" w:type="dxa"/>
            <w:vAlign w:val="bottom"/>
          </w:tcPr>
          <w:p>
            <w:pPr>
              <w:spacing w:after="0"/>
              <w:rPr>
                <w:sz w:val="21"/>
                <w:szCs w:val="21"/>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960" w:type="dxa"/>
            <w:vAlign w:val="bottom"/>
            <w:tcBorders>
              <w:top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280" w:type="dxa"/>
            <w:vAlign w:val="bottom"/>
            <w:tcBorders>
              <w:bottom w:val="single" w:sz="8" w:color="D5DCE4"/>
            </w:tcBorders>
            <w:shd w:val="clear" w:color="auto" w:fill="D5DCE4"/>
          </w:tcPr>
          <w:p>
            <w:pPr>
              <w:spacing w:after="0"/>
              <w:rPr>
                <w:sz w:val="19"/>
                <w:szCs w:val="19"/>
                <w:color w:val="auto"/>
              </w:rPr>
            </w:pPr>
          </w:p>
        </w:tc>
        <w:tc>
          <w:tcPr>
            <w:tcW w:w="122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2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80" w:type="dxa"/>
            <w:vAlign w:val="bottom"/>
            <w:tcBorders>
              <w:bottom w:val="single" w:sz="8" w:color="D5DCE4"/>
            </w:tcBorders>
            <w:shd w:val="clear" w:color="auto" w:fill="D5DCE4"/>
          </w:tcPr>
          <w:p>
            <w:pPr>
              <w:spacing w:after="0"/>
              <w:rPr>
                <w:sz w:val="19"/>
                <w:szCs w:val="19"/>
                <w:color w:val="auto"/>
              </w:rPr>
            </w:pPr>
          </w:p>
        </w:tc>
        <w:tc>
          <w:tcPr>
            <w:tcW w:w="104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89,314</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88,946</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364,866</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309,338</w:t>
            </w:r>
          </w:p>
        </w:tc>
        <w:tc>
          <w:tcPr>
            <w:tcW w:w="0" w:type="dxa"/>
            <w:vAlign w:val="bottom"/>
          </w:tcPr>
          <w:p>
            <w:pPr>
              <w:spacing w:after="0"/>
              <w:rPr>
                <w:sz w:val="1"/>
                <w:szCs w:val="1"/>
                <w:color w:val="auto"/>
              </w:rPr>
            </w:pPr>
          </w:p>
        </w:tc>
      </w:tr>
      <w:tr>
        <w:trPr>
          <w:trHeight w:val="213"/>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280" w:type="dxa"/>
            <w:vAlign w:val="bottom"/>
            <w:shd w:val="clear" w:color="auto" w:fill="D5DCE4"/>
          </w:tcPr>
          <w:p>
            <w:pPr>
              <w:spacing w:after="0"/>
              <w:rPr>
                <w:sz w:val="18"/>
                <w:szCs w:val="18"/>
                <w:color w:val="auto"/>
              </w:rPr>
            </w:pPr>
          </w:p>
        </w:tc>
        <w:tc>
          <w:tcPr>
            <w:tcW w:w="12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104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D5DCE4"/>
          </w:tcPr>
          <w:p>
            <w:pPr>
              <w:spacing w:after="0"/>
              <w:rPr>
                <w:sz w:val="20"/>
                <w:szCs w:val="20"/>
                <w:color w:val="auto"/>
              </w:rPr>
            </w:pPr>
          </w:p>
        </w:tc>
        <w:tc>
          <w:tcPr>
            <w:tcW w:w="4940" w:type="dxa"/>
            <w:vAlign w:val="bottom"/>
            <w:gridSpan w:val="4"/>
            <w:shd w:val="clear" w:color="auto" w:fill="D5DCE4"/>
          </w:tcPr>
          <w:p>
            <w:pPr>
              <w:spacing w:after="0" w:line="240" w:lineRule="exact"/>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D5DCE4"/>
          </w:tcPr>
          <w:p>
            <w:pPr>
              <w:spacing w:after="0"/>
              <w:rPr>
                <w:sz w:val="20"/>
                <w:szCs w:val="20"/>
                <w:color w:val="auto"/>
              </w:rPr>
            </w:pPr>
          </w:p>
        </w:tc>
        <w:tc>
          <w:tcPr>
            <w:tcW w:w="48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89,196</w:t>
            </w:r>
          </w:p>
        </w:tc>
        <w:tc>
          <w:tcPr>
            <w:tcW w:w="80" w:type="dxa"/>
            <w:vAlign w:val="bottom"/>
          </w:tcPr>
          <w:p>
            <w:pPr>
              <w:spacing w:after="0"/>
              <w:rPr>
                <w:sz w:val="16"/>
                <w:szCs w:val="16"/>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88,783</w:t>
            </w:r>
          </w:p>
        </w:tc>
        <w:tc>
          <w:tcPr>
            <w:tcW w:w="80" w:type="dxa"/>
            <w:vAlign w:val="bottom"/>
          </w:tcPr>
          <w:p>
            <w:pPr>
              <w:spacing w:after="0"/>
              <w:rPr>
                <w:sz w:val="16"/>
                <w:szCs w:val="16"/>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364,399</w:t>
            </w:r>
          </w:p>
        </w:tc>
        <w:tc>
          <w:tcPr>
            <w:tcW w:w="80" w:type="dxa"/>
            <w:vAlign w:val="bottom"/>
          </w:tcPr>
          <w:p>
            <w:pPr>
              <w:spacing w:after="0"/>
              <w:rPr>
                <w:sz w:val="16"/>
                <w:szCs w:val="16"/>
                <w:color w:val="auto"/>
              </w:rPr>
            </w:pPr>
          </w:p>
        </w:tc>
        <w:tc>
          <w:tcPr>
            <w:tcW w:w="4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309,094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2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2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104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shd w:val="clear" w:color="auto" w:fill="D5DCE4"/>
          </w:tcPr>
          <w:p>
            <w:pPr>
              <w:spacing w:after="0"/>
              <w:rPr>
                <w:sz w:val="14"/>
                <w:szCs w:val="14"/>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211,843,460</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207,978,371</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210,796,802</w:t>
            </w:r>
          </w:p>
        </w:tc>
        <w:tc>
          <w:tcPr>
            <w:tcW w:w="80" w:type="dxa"/>
            <w:vAlign w:val="bottom"/>
            <w:shd w:val="clear" w:color="auto" w:fill="D5DCE4"/>
          </w:tcPr>
          <w:p>
            <w:pPr>
              <w:spacing w:after="0"/>
              <w:rPr>
                <w:sz w:val="14"/>
                <w:szCs w:val="14"/>
                <w:color w:val="auto"/>
              </w:rPr>
            </w:pPr>
          </w:p>
        </w:tc>
        <w:tc>
          <w:tcPr>
            <w:tcW w:w="480" w:type="dxa"/>
            <w:vAlign w:val="bottom"/>
            <w:shd w:val="clear" w:color="auto" w:fill="D5DCE4"/>
          </w:tcPr>
          <w:p>
            <w:pPr>
              <w:spacing w:after="0"/>
              <w:rPr>
                <w:sz w:val="14"/>
                <w:szCs w:val="14"/>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205,576,637</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280" w:type="dxa"/>
            <w:vAlign w:val="bottom"/>
            <w:shd w:val="clear" w:color="auto" w:fill="D5DCE4"/>
          </w:tcPr>
          <w:p>
            <w:pPr>
              <w:spacing w:after="0"/>
              <w:rPr>
                <w:sz w:val="18"/>
                <w:szCs w:val="18"/>
                <w:color w:val="auto"/>
              </w:rPr>
            </w:pPr>
          </w:p>
        </w:tc>
        <w:tc>
          <w:tcPr>
            <w:tcW w:w="122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104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691,150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694,635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458,343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770,726</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877,866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1,420,913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1,150,159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1,810,956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394,812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235,737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257,076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241,721</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25,713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6,428</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gridSpan w:val="4"/>
          </w:tcPr>
          <w:p>
            <w:pPr>
              <w:spacing w:after="0" w:line="142"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213,833,001</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210,329,656</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212,668,808</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208,400,040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2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104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During the quarters ended December 31, 2023 and 2022, there was a total of 281,059 and 382,800, respectively, and during the years ended December 31, 2023 and 2022, there was a total of 270,249 and</w:t>
      </w:r>
    </w:p>
    <w:p>
      <w:pPr>
        <w:spacing w:after="0" w:line="15" w:lineRule="exact"/>
        <w:rPr>
          <w:sz w:val="20"/>
          <w:szCs w:val="20"/>
          <w:color w:val="auto"/>
        </w:rPr>
      </w:pPr>
    </w:p>
    <w:p>
      <w:pPr>
        <w:ind w:left="440" w:right="180" w:hanging="414"/>
        <w:spacing w:after="0" w:line="270"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193,441, respectively, weighted average unvested RSUs and unsettled vested PRSUs that were considered a participating security for purposes of calculating earnings per share in accordance with the two-class method.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14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04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9"/>
                <w:szCs w:val="19"/>
                <w:color w:val="auto"/>
              </w:rPr>
            </w:pPr>
          </w:p>
        </w:tc>
        <w:tc>
          <w:tcPr>
            <w:tcW w:w="18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w:t>
            </w:r>
          </w:p>
        </w:tc>
      </w:tr>
      <w:tr>
        <w:trPr>
          <w:trHeight w:val="244"/>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December 31, 2022</w:t>
            </w:r>
          </w:p>
        </w:tc>
      </w:tr>
      <w:tr>
        <w:trPr>
          <w:trHeight w:val="239"/>
        </w:trPr>
        <w:tc>
          <w:tcPr>
            <w:tcW w:w="256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rPr>
              <w:t>Fixed</w:t>
            </w:r>
          </w:p>
        </w:tc>
      </w:tr>
      <w:tr>
        <w:trPr>
          <w:trHeight w:val="237"/>
        </w:trPr>
        <w:tc>
          <w:tcPr>
            <w:tcW w:w="2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47"/>
        </w:trPr>
        <w:tc>
          <w:tcPr>
            <w:tcW w:w="2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132,248</w:t>
            </w:r>
          </w:p>
        </w:tc>
        <w:tc>
          <w:tcPr>
            <w:tcW w:w="20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59,495</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90,384</w:t>
            </w:r>
          </w:p>
        </w:tc>
        <w:tc>
          <w:tcPr>
            <w:tcW w:w="20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54,930</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462,132</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233,302</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383,780</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221,626</w:t>
            </w:r>
          </w:p>
        </w:tc>
      </w:tr>
      <w:tr>
        <w:trPr>
          <w:trHeight w:val="235"/>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96,799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76,891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338,981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305,760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26,043</w:t>
            </w:r>
          </w:p>
        </w:tc>
      </w:tr>
      <w:tr>
        <w:trPr>
          <w:trHeight w:val="251"/>
        </w:trPr>
        <w:tc>
          <w:tcPr>
            <w:tcW w:w="2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23,673</w:t>
            </w:r>
          </w:p>
        </w:tc>
        <w:tc>
          <w:tcPr>
            <w:tcW w:w="20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2,383</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20,825</w:t>
            </w:r>
          </w:p>
        </w:tc>
        <w:tc>
          <w:tcPr>
            <w:tcW w:w="20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2,178</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86,003</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9,292</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84,354</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9,120</w:t>
            </w:r>
          </w:p>
        </w:tc>
      </w:tr>
      <w:tr>
        <w:trPr>
          <w:trHeight w:val="235"/>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4,432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17,652</w:t>
            </w:r>
          </w:p>
        </w:tc>
      </w:tr>
      <w:tr>
        <w:trPr>
          <w:trHeight w:val="251"/>
        </w:trPr>
        <w:tc>
          <w:tcPr>
            <w:tcW w:w="2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25,800</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22,295</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268</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93,806</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85,913</w:t>
            </w:r>
          </w:p>
        </w:tc>
      </w:tr>
      <w:tr>
        <w:trPr>
          <w:trHeight w:val="237"/>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22,227</w:t>
            </w:r>
          </w:p>
        </w:tc>
      </w:tr>
      <w:tr>
        <w:trPr>
          <w:trHeight w:val="268"/>
        </w:trPr>
        <w:tc>
          <w:tcPr>
            <w:tcW w:w="256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265,276</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104,724</w:t>
            </w:r>
          </w:p>
        </w:tc>
        <w:tc>
          <w:tcPr>
            <w:tcW w:w="12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196,967</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96,075</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933,214</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405,005</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806,200</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382,581</w:t>
            </w:r>
          </w:p>
        </w:tc>
      </w:tr>
      <w:tr>
        <w:trPr>
          <w:trHeight w:val="20"/>
        </w:trPr>
        <w:tc>
          <w:tcPr>
            <w:tcW w:w="23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4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5"/>
          </w:tcPr>
          <w:p>
            <w:pPr>
              <w:ind w:left="460"/>
              <w:spacing w:after="0"/>
              <w:rPr>
                <w:sz w:val="20"/>
                <w:szCs w:val="20"/>
                <w:color w:val="auto"/>
              </w:rPr>
            </w:pPr>
            <w:r>
              <w:rPr>
                <w:rFonts w:ascii="Arial" w:cs="Arial" w:eastAsia="Arial" w:hAnsi="Arial"/>
                <w:sz w:val="16"/>
                <w:szCs w:val="16"/>
                <w:b w:val="1"/>
                <w:bCs w:val="1"/>
                <w:color w:val="auto"/>
              </w:rPr>
              <w:t>Quarter Ended December 31,</w:t>
            </w: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47"/>
        </w:trPr>
        <w:tc>
          <w:tcPr>
            <w:tcW w:w="4980" w:type="dxa"/>
            <w:vAlign w:val="bottom"/>
            <w:tcBorders>
              <w:bottom w:val="single" w:sz="8" w:color="D5DCE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D5DCE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1"/>
                <w:szCs w:val="21"/>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2.33</w:t>
            </w:r>
          </w:p>
        </w:tc>
        <w:tc>
          <w:tcPr>
            <w:tcW w:w="80" w:type="dxa"/>
            <w:vAlign w:val="bottom"/>
            <w:shd w:val="clear" w:color="auto" w:fill="D5DCE4"/>
          </w:tcPr>
          <w:p>
            <w:pPr>
              <w:spacing w:after="0"/>
              <w:rPr>
                <w:sz w:val="20"/>
                <w:szCs w:val="20"/>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(16.2)%</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(26.0)%</w:t>
            </w: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Rates Derivatives (greater than 1 year)</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51"/>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0.21</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(23.9)%</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30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64.64</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57.95</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11.5 %</w:t>
            </w:r>
          </w:p>
        </w:tc>
      </w:tr>
      <w:tr>
        <w:trPr>
          <w:trHeight w:val="243"/>
        </w:trPr>
        <w:tc>
          <w:tcPr>
            <w:tcW w:w="444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30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168.34</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175.91</w:t>
            </w:r>
          </w:p>
        </w:tc>
        <w:tc>
          <w:tcPr>
            <w:tcW w:w="14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44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130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7.90</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8.45</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30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15.97</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19.18</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(16.8)%</w:t>
            </w:r>
          </w:p>
        </w:tc>
      </w:tr>
      <w:tr>
        <w:trPr>
          <w:trHeight w:val="235"/>
        </w:trPr>
        <w:tc>
          <w:tcPr>
            <w:tcW w:w="444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130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27.92</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29.60</w:t>
            </w:r>
          </w:p>
        </w:tc>
        <w:tc>
          <w:tcPr>
            <w:tcW w:w="14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1"/>
        </w:trPr>
        <w:tc>
          <w:tcPr>
            <w:tcW w:w="44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30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5.38</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6.09</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30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0.37</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0.36</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2.8 %</w:t>
            </w:r>
          </w:p>
        </w:tc>
      </w:t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30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2.54</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3.00</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(15.3)%</w:t>
            </w:r>
          </w:p>
        </w:tc>
      </w:tr>
      <w:tr>
        <w:trPr>
          <w:trHeight w:val="302"/>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2.91</w:t>
            </w:r>
          </w:p>
        </w:tc>
        <w:tc>
          <w:tcPr>
            <w:tcW w:w="8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3.31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(12.2)%</w:t>
            </w:r>
          </w:p>
        </w:tc>
      </w:tr>
    </w:tbl>
    <w:p>
      <w:pPr>
        <w:spacing w:after="0" w:line="197" w:lineRule="exact"/>
        <w:rPr>
          <w:sz w:val="20"/>
          <w:szCs w:val="20"/>
          <w:color w:val="auto"/>
        </w:rPr>
      </w:pPr>
    </w:p>
    <w:p>
      <w:pPr>
        <w:ind w:left="440" w:hanging="414"/>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2023 Q4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4"/>
          </w:tcPr>
          <w:p>
            <w:pPr>
              <w:ind w:left="740"/>
              <w:spacing w:after="0"/>
              <w:rPr>
                <w:sz w:val="20"/>
                <w:szCs w:val="20"/>
                <w:color w:val="auto"/>
              </w:rPr>
            </w:pPr>
            <w:r>
              <w:rPr>
                <w:rFonts w:ascii="Arial" w:cs="Arial" w:eastAsia="Arial" w:hAnsi="Arial"/>
                <w:sz w:val="16"/>
                <w:szCs w:val="16"/>
                <w:b w:val="1"/>
                <w:bCs w:val="1"/>
                <w:color w:val="auto"/>
              </w:rPr>
              <w:t>2022 Q4</w:t>
            </w:r>
          </w:p>
        </w:tc>
        <w:tc>
          <w:tcPr>
            <w:tcW w:w="1340" w:type="dxa"/>
            <w:vAlign w:val="bottom"/>
          </w:tcPr>
          <w:p>
            <w:pPr>
              <w:ind w:left="50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47"/>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1"/>
                <w:szCs w:val="21"/>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1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397,987</w:t>
            </w:r>
          </w:p>
        </w:tc>
        <w:tc>
          <w:tcPr>
            <w:tcW w:w="4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24,713,720</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318,194</w:t>
            </w:r>
          </w:p>
        </w:tc>
        <w:tc>
          <w:tcPr>
            <w:tcW w:w="14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19,481,112</w:t>
            </w:r>
          </w:p>
        </w:tc>
        <w:tc>
          <w:tcPr>
            <w:tcW w:w="100" w:type="dxa"/>
            <w:vAlign w:val="bottom"/>
            <w:tcBorders>
              <w:right w:val="single" w:sz="8" w:color="D5DCE4"/>
            </w:tcBorders>
            <w:shd w:val="clear" w:color="auto" w:fill="D5DCE4"/>
          </w:tcPr>
          <w:p>
            <w:pPr>
              <w:spacing w:after="0"/>
              <w:rPr>
                <w:sz w:val="20"/>
                <w:szCs w:val="20"/>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25.08 %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162,335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10,064,801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126,182</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7,697,129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28.65 %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40,491</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2,550,927</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33,305</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2,098,195</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21.58 %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185,883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11,524,751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153,847</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9,384,660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20.82 %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9,278</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573,241</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4,860</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301,128</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90.92 %</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689,759</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43,034,657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311,012</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19,271,117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121.78 %</w:t>
            </w:r>
          </w:p>
        </w:tc>
        <w:tc>
          <w:tcPr>
            <w:tcW w:w="0" w:type="dxa"/>
            <w:vAlign w:val="bottom"/>
          </w:tcPr>
          <w:p>
            <w:pPr>
              <w:spacing w:after="0"/>
              <w:rPr>
                <w:sz w:val="1"/>
                <w:szCs w:val="1"/>
                <w:color w:val="auto"/>
              </w:rPr>
            </w:pPr>
          </w:p>
        </w:tc>
      </w:tr>
      <w:tr>
        <w:trPr>
          <w:trHeight w:val="247"/>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462,960</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28,881,153</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201,759</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12,504,981</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129.46 %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223,305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13,936,828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107,597</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6,665,075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107.54 %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3,494</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216,676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1,656</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101,061</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110.94 %</w:t>
            </w:r>
          </w:p>
        </w:tc>
        <w:tc>
          <w:tcPr>
            <w:tcW w:w="0" w:type="dxa"/>
            <w:vAlign w:val="bottom"/>
          </w:tcPr>
          <w:p>
            <w:pPr>
              <w:spacing w:after="0"/>
              <w:rPr>
                <w:sz w:val="1"/>
                <w:szCs w:val="1"/>
                <w:color w:val="auto"/>
              </w:rPr>
            </w:pPr>
          </w:p>
        </w:tc>
      </w:tr>
      <w:tr>
        <w:trPr>
          <w:trHeight w:val="233"/>
        </w:trPr>
        <w:tc>
          <w:tcPr>
            <w:tcW w:w="1220" w:type="dxa"/>
            <w:vAlign w:val="bottom"/>
            <w:tcBorders>
              <w:bottom w:val="single" w:sz="8" w:color="D5DCE4"/>
            </w:tcBorders>
          </w:tcPr>
          <w:p>
            <w:pPr>
              <w:spacing w:after="0"/>
              <w:rPr>
                <w:sz w:val="20"/>
                <w:szCs w:val="20"/>
                <w:color w:val="auto"/>
              </w:rPr>
            </w:pPr>
          </w:p>
        </w:tc>
        <w:tc>
          <w:tcPr>
            <w:tcW w:w="31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1,087,746</w:t>
            </w:r>
          </w:p>
        </w:tc>
        <w:tc>
          <w:tcPr>
            <w:tcW w:w="4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67,748,378</w:t>
            </w:r>
          </w:p>
        </w:tc>
        <w:tc>
          <w:tcPr>
            <w:tcW w:w="100" w:type="dxa"/>
            <w:vAlign w:val="bottom"/>
            <w:tcBorders>
              <w:bottom w:val="single" w:sz="8" w:color="D5DCE4"/>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629,206</w:t>
            </w: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38,752,229</w:t>
            </w:r>
          </w:p>
        </w:tc>
        <w:tc>
          <w:tcPr>
            <w:tcW w:w="100" w:type="dxa"/>
            <w:vAlign w:val="bottom"/>
            <w:tcBorders>
              <w:bottom w:val="single" w:sz="8" w:color="D5DCE4"/>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72.88 %</w:t>
            </w: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1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14,292</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882,254</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10,120</w:t>
            </w:r>
          </w:p>
        </w:tc>
        <w:tc>
          <w:tcPr>
            <w:tcW w:w="1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619,806</w:t>
            </w:r>
          </w:p>
        </w:tc>
        <w:tc>
          <w:tcPr>
            <w:tcW w:w="100" w:type="dxa"/>
            <w:vAlign w:val="bottom"/>
            <w:tcBorders>
              <w:right w:val="single" w:sz="8" w:color="D5DCE4"/>
            </w:tcBorders>
            <w:shd w:val="clear" w:color="auto" w:fill="D5DCE4"/>
          </w:tcPr>
          <w:p>
            <w:pPr>
              <w:spacing w:after="0"/>
              <w:rPr>
                <w:sz w:val="20"/>
                <w:szCs w:val="20"/>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41.22 %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Grade - Fully Electronic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5,133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318,233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3,634</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221,647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41.26 %</w:t>
            </w:r>
          </w:p>
        </w:tc>
        <w:tc>
          <w:tcPr>
            <w:tcW w:w="0" w:type="dxa"/>
            <w:vAlign w:val="bottom"/>
          </w:tcPr>
          <w:p>
            <w:pPr>
              <w:spacing w:after="0"/>
              <w:rPr>
                <w:sz w:val="1"/>
                <w:szCs w:val="1"/>
                <w:color w:val="auto"/>
              </w:rPr>
            </w:pPr>
          </w:p>
        </w:tc>
      </w:tr>
      <w:tr>
        <w:trPr>
          <w:trHeight w:val="212"/>
        </w:trPr>
        <w:tc>
          <w:tcPr>
            <w:tcW w:w="1220" w:type="dxa"/>
            <w:vAlign w:val="bottom"/>
            <w:tcBorders>
              <w:right w:val="single" w:sz="8" w:color="D5DCE4"/>
            </w:tcBorders>
            <w:shd w:val="clear" w:color="auto" w:fill="D5DCE4"/>
          </w:tcPr>
          <w:p>
            <w:pPr>
              <w:spacing w:after="0"/>
              <w:rPr>
                <w:sz w:val="18"/>
                <w:szCs w:val="18"/>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Grade - Electronically</w:t>
            </w:r>
          </w:p>
        </w:tc>
        <w:tc>
          <w:tcPr>
            <w:tcW w:w="260" w:type="dxa"/>
            <w:vAlign w:val="bottom"/>
            <w:shd w:val="clear" w:color="auto" w:fill="D5DCE4"/>
          </w:tcPr>
          <w:p>
            <w:pPr>
              <w:spacing w:after="0"/>
              <w:rPr>
                <w:sz w:val="18"/>
                <w:szCs w:val="18"/>
                <w:color w:val="auto"/>
              </w:rPr>
            </w:pPr>
          </w:p>
        </w:tc>
        <w:tc>
          <w:tcPr>
            <w:tcW w:w="98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2,500</w:t>
            </w:r>
          </w:p>
        </w:tc>
        <w:tc>
          <w:tcPr>
            <w:tcW w:w="440" w:type="dxa"/>
            <w:vAlign w:val="bottom"/>
            <w:shd w:val="clear" w:color="auto" w:fill="D5DCE4"/>
          </w:tcPr>
          <w:p>
            <w:pPr>
              <w:spacing w:after="0"/>
              <w:rPr>
                <w:sz w:val="18"/>
                <w:szCs w:val="18"/>
                <w:color w:val="auto"/>
              </w:rPr>
            </w:pPr>
          </w:p>
        </w:tc>
        <w:tc>
          <w:tcPr>
            <w:tcW w:w="10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154,992</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98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2,595</w:t>
            </w:r>
          </w:p>
        </w:tc>
        <w:tc>
          <w:tcPr>
            <w:tcW w:w="140" w:type="dxa"/>
            <w:vAlign w:val="bottom"/>
            <w:shd w:val="clear" w:color="auto" w:fill="D5DCE4"/>
          </w:tcPr>
          <w:p>
            <w:pPr>
              <w:spacing w:after="0"/>
              <w:rPr>
                <w:sz w:val="18"/>
                <w:szCs w:val="18"/>
                <w:color w:val="auto"/>
              </w:rPr>
            </w:pPr>
          </w:p>
        </w:tc>
        <w:tc>
          <w:tcPr>
            <w:tcW w:w="12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158,294</w:t>
            </w:r>
          </w:p>
        </w:tc>
        <w:tc>
          <w:tcPr>
            <w:tcW w:w="100" w:type="dxa"/>
            <w:vAlign w:val="bottom"/>
            <w:tcBorders>
              <w:right w:val="single" w:sz="8" w:color="D5DCE4"/>
            </w:tcBorders>
            <w:shd w:val="clear" w:color="auto" w:fill="D5DCE4"/>
          </w:tcPr>
          <w:p>
            <w:pPr>
              <w:spacing w:after="0"/>
              <w:rPr>
                <w:sz w:val="18"/>
                <w:szCs w:val="18"/>
                <w:color w:val="auto"/>
              </w:rPr>
            </w:pPr>
          </w:p>
        </w:tc>
        <w:tc>
          <w:tcPr>
            <w:tcW w:w="134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18"/>
        </w:trPr>
        <w:tc>
          <w:tcPr>
            <w:tcW w:w="1220" w:type="dxa"/>
            <w:vAlign w:val="bottom"/>
            <w:tcBorders>
              <w:right w:val="single" w:sz="8" w:color="D5DCE4"/>
            </w:tcBorders>
            <w:shd w:val="clear" w:color="auto" w:fill="D5DCE4"/>
          </w:tcPr>
          <w:p>
            <w:pPr>
              <w:spacing w:after="0"/>
              <w:rPr>
                <w:sz w:val="10"/>
                <w:szCs w:val="10"/>
                <w:color w:val="auto"/>
              </w:rPr>
            </w:pPr>
          </w:p>
        </w:tc>
        <w:tc>
          <w:tcPr>
            <w:tcW w:w="314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Processed</w:t>
            </w:r>
          </w:p>
        </w:tc>
        <w:tc>
          <w:tcPr>
            <w:tcW w:w="260" w:type="dxa"/>
            <w:vAlign w:val="bottom"/>
            <w:shd w:val="clear" w:color="auto" w:fill="D5DCE4"/>
          </w:tcPr>
          <w:p>
            <w:pPr>
              <w:spacing w:after="0"/>
              <w:rPr>
                <w:sz w:val="10"/>
                <w:szCs w:val="10"/>
                <w:color w:val="auto"/>
              </w:rPr>
            </w:pPr>
          </w:p>
        </w:tc>
        <w:tc>
          <w:tcPr>
            <w:tcW w:w="98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0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280" w:type="dxa"/>
            <w:vAlign w:val="bottom"/>
            <w:shd w:val="clear" w:color="auto" w:fill="D5DCE4"/>
          </w:tcPr>
          <w:p>
            <w:pPr>
              <w:spacing w:after="0"/>
              <w:rPr>
                <w:sz w:val="10"/>
                <w:szCs w:val="10"/>
                <w:color w:val="auto"/>
              </w:rPr>
            </w:pPr>
          </w:p>
        </w:tc>
        <w:tc>
          <w:tcPr>
            <w:tcW w:w="980" w:type="dxa"/>
            <w:vAlign w:val="bottom"/>
            <w:tcBorders>
              <w:right w:val="single" w:sz="8" w:color="D5DCE4"/>
            </w:tcBorders>
            <w:vMerge w:val="continue"/>
            <w:shd w:val="clear" w:color="auto" w:fill="D5DCE4"/>
          </w:tcPr>
          <w:p>
            <w:pPr>
              <w:spacing w:after="0"/>
              <w:rPr>
                <w:sz w:val="10"/>
                <w:szCs w:val="10"/>
                <w:color w:val="auto"/>
              </w:rPr>
            </w:pPr>
          </w:p>
        </w:tc>
        <w:tc>
          <w:tcPr>
            <w:tcW w:w="140" w:type="dxa"/>
            <w:vAlign w:val="bottom"/>
            <w:shd w:val="clear" w:color="auto" w:fill="D5DCE4"/>
          </w:tcPr>
          <w:p>
            <w:pPr>
              <w:spacing w:after="0"/>
              <w:rPr>
                <w:sz w:val="10"/>
                <w:szCs w:val="10"/>
                <w:color w:val="auto"/>
              </w:rPr>
            </w:pPr>
          </w:p>
        </w:tc>
        <w:tc>
          <w:tcPr>
            <w:tcW w:w="128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34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20" w:type="dxa"/>
            <w:vAlign w:val="bottom"/>
            <w:tcBorders>
              <w:bottom w:val="single" w:sz="8" w:color="D5DCE4"/>
              <w:right w:val="single" w:sz="8" w:color="D5DCE4"/>
            </w:tcBorders>
            <w:shd w:val="clear" w:color="auto" w:fill="D5DCE4"/>
          </w:tcPr>
          <w:p>
            <w:pPr>
              <w:spacing w:after="0"/>
              <w:rPr>
                <w:sz w:val="9"/>
                <w:szCs w:val="9"/>
                <w:color w:val="auto"/>
              </w:rPr>
            </w:pPr>
          </w:p>
        </w:tc>
        <w:tc>
          <w:tcPr>
            <w:tcW w:w="314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260" w:type="dxa"/>
            <w:vAlign w:val="bottom"/>
            <w:tcBorders>
              <w:bottom w:val="single" w:sz="8" w:color="D5DCE4"/>
            </w:tcBorders>
            <w:shd w:val="clear" w:color="auto" w:fill="D5DCE4"/>
          </w:tcPr>
          <w:p>
            <w:pPr>
              <w:spacing w:after="0"/>
              <w:rPr>
                <w:sz w:val="9"/>
                <w:szCs w:val="9"/>
                <w:color w:val="auto"/>
              </w:rPr>
            </w:pPr>
          </w:p>
        </w:tc>
        <w:tc>
          <w:tcPr>
            <w:tcW w:w="980" w:type="dxa"/>
            <w:vAlign w:val="bottom"/>
            <w:tcBorders>
              <w:bottom w:val="single" w:sz="8" w:color="D5DCE4"/>
              <w:right w:val="single" w:sz="8" w:color="D5DCE4"/>
            </w:tcBorders>
            <w:shd w:val="clear" w:color="auto" w:fill="D5DCE4"/>
          </w:tcPr>
          <w:p>
            <w:pPr>
              <w:spacing w:after="0"/>
              <w:rPr>
                <w:sz w:val="9"/>
                <w:szCs w:val="9"/>
                <w:color w:val="auto"/>
              </w:rPr>
            </w:pPr>
          </w:p>
        </w:tc>
        <w:tc>
          <w:tcPr>
            <w:tcW w:w="440" w:type="dxa"/>
            <w:vAlign w:val="bottom"/>
            <w:tcBorders>
              <w:bottom w:val="single" w:sz="8" w:color="D5DCE4"/>
            </w:tcBorders>
            <w:shd w:val="clear" w:color="auto" w:fill="D5DCE4"/>
          </w:tcPr>
          <w:p>
            <w:pPr>
              <w:spacing w:after="0"/>
              <w:rPr>
                <w:sz w:val="9"/>
                <w:szCs w:val="9"/>
                <w:color w:val="auto"/>
              </w:rPr>
            </w:pPr>
          </w:p>
        </w:tc>
        <w:tc>
          <w:tcPr>
            <w:tcW w:w="100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280" w:type="dxa"/>
            <w:vAlign w:val="bottom"/>
            <w:tcBorders>
              <w:bottom w:val="single" w:sz="8" w:color="D5DCE4"/>
            </w:tcBorders>
            <w:shd w:val="clear" w:color="auto" w:fill="D5DCE4"/>
          </w:tcPr>
          <w:p>
            <w:pPr>
              <w:spacing w:after="0"/>
              <w:rPr>
                <w:sz w:val="9"/>
                <w:szCs w:val="9"/>
                <w:color w:val="auto"/>
              </w:rPr>
            </w:pPr>
          </w:p>
        </w:tc>
        <w:tc>
          <w:tcPr>
            <w:tcW w:w="980" w:type="dxa"/>
            <w:vAlign w:val="bottom"/>
            <w:tcBorders>
              <w:bottom w:val="single" w:sz="8" w:color="D5DCE4"/>
              <w:right w:val="single" w:sz="8" w:color="D5DCE4"/>
            </w:tcBorders>
            <w:shd w:val="clear" w:color="auto" w:fill="D5DCE4"/>
          </w:tcPr>
          <w:p>
            <w:pPr>
              <w:spacing w:after="0"/>
              <w:rPr>
                <w:sz w:val="9"/>
                <w:szCs w:val="9"/>
                <w:color w:val="auto"/>
              </w:rPr>
            </w:pPr>
          </w:p>
        </w:tc>
        <w:tc>
          <w:tcPr>
            <w:tcW w:w="140" w:type="dxa"/>
            <w:vAlign w:val="bottom"/>
            <w:tcBorders>
              <w:bottom w:val="single" w:sz="8" w:color="D5DCE4"/>
            </w:tcBorders>
            <w:shd w:val="clear" w:color="auto" w:fill="D5DCE4"/>
          </w:tcPr>
          <w:p>
            <w:pPr>
              <w:spacing w:after="0"/>
              <w:rPr>
                <w:sz w:val="9"/>
                <w:szCs w:val="9"/>
                <w:color w:val="auto"/>
              </w:rPr>
            </w:pPr>
          </w:p>
        </w:tc>
        <w:tc>
          <w:tcPr>
            <w:tcW w:w="128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340" w:type="dxa"/>
            <w:vAlign w:val="bottom"/>
            <w:tcBorders>
              <w:bottom w:val="single" w:sz="8" w:color="D5DCE4"/>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Yield - Fully Electronic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642</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39,821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35,463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10.48 %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 - Electronically Processed</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300</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18,620</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288</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17,543</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4.42 %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2,044</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128,744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1,591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100,203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28.48 %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455</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28,182</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458</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27,962</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2,984</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179,033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245.75 %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234</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14,630</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6,914</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111.49 %</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9,864</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615,208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11,443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706,958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(13.80)%</w:t>
            </w:r>
          </w:p>
        </w:tc>
        <w:tc>
          <w:tcPr>
            <w:tcW w:w="0" w:type="dxa"/>
            <w:vAlign w:val="bottom"/>
          </w:tcPr>
          <w:p>
            <w:pPr>
              <w:spacing w:after="0"/>
              <w:rPr>
                <w:sz w:val="1"/>
                <w:szCs w:val="1"/>
                <w:color w:val="auto"/>
              </w:rPr>
            </w:pPr>
          </w:p>
        </w:tc>
      </w:tr>
      <w:tr>
        <w:trPr>
          <w:trHeight w:val="247"/>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9,864</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615,208</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11,443</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706,958</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33"/>
        </w:trPr>
        <w:tc>
          <w:tcPr>
            <w:tcW w:w="1220" w:type="dxa"/>
            <w:vAlign w:val="bottom"/>
            <w:tcBorders>
              <w:bottom w:val="single" w:sz="8" w:color="D5DCE4"/>
            </w:tcBorders>
          </w:tcPr>
          <w:p>
            <w:pPr>
              <w:spacing w:after="0"/>
              <w:rPr>
                <w:sz w:val="20"/>
                <w:szCs w:val="20"/>
                <w:color w:val="auto"/>
              </w:rPr>
            </w:pPr>
          </w:p>
        </w:tc>
        <w:tc>
          <w:tcPr>
            <w:tcW w:w="31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24,155</w:t>
            </w:r>
          </w:p>
        </w:tc>
        <w:tc>
          <w:tcPr>
            <w:tcW w:w="4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1,497,462</w:t>
            </w:r>
          </w:p>
        </w:tc>
        <w:tc>
          <w:tcPr>
            <w:tcW w:w="100" w:type="dxa"/>
            <w:vAlign w:val="bottom"/>
            <w:tcBorders>
              <w:bottom w:val="single" w:sz="8" w:color="D5DCE4"/>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21,563</w:t>
            </w: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1,326,763</w:t>
            </w:r>
          </w:p>
        </w:tc>
        <w:tc>
          <w:tcPr>
            <w:tcW w:w="100" w:type="dxa"/>
            <w:vAlign w:val="bottom"/>
            <w:tcBorders>
              <w:bottom w:val="single" w:sz="8" w:color="D5DCE4"/>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12.02 %</w:t>
            </w: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1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11,054</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696,382</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9,595</w:t>
            </w:r>
          </w:p>
        </w:tc>
        <w:tc>
          <w:tcPr>
            <w:tcW w:w="14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604,516</w:t>
            </w:r>
          </w:p>
        </w:tc>
        <w:tc>
          <w:tcPr>
            <w:tcW w:w="100" w:type="dxa"/>
            <w:vAlign w:val="bottom"/>
            <w:tcBorders>
              <w:right w:val="single" w:sz="8" w:color="D5DCE4"/>
            </w:tcBorders>
            <w:shd w:val="clear" w:color="auto" w:fill="D5DCE4"/>
          </w:tcPr>
          <w:p>
            <w:pPr>
              <w:spacing w:after="0"/>
              <w:rPr>
                <w:sz w:val="20"/>
                <w:szCs w:val="20"/>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15.20 %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8,308</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523,375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7,314</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460,799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13.58 %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ETFs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2,746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173,007</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2,281</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143,718</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20.38 %</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12,481</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786,315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7,637</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481,130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63.43 %</w:t>
            </w:r>
          </w:p>
        </w:tc>
        <w:tc>
          <w:tcPr>
            <w:tcW w:w="0" w:type="dxa"/>
            <w:vAlign w:val="bottom"/>
          </w:tcPr>
          <w:p>
            <w:pPr>
              <w:spacing w:after="0"/>
              <w:rPr>
                <w:sz w:val="1"/>
                <w:szCs w:val="1"/>
                <w:color w:val="auto"/>
              </w:rPr>
            </w:pPr>
          </w:p>
        </w:tc>
      </w:tr>
      <w:tr>
        <w:trPr>
          <w:trHeight w:val="247"/>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Convertibles/Swaps/Options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8,503</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535,669</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4,377</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275,727</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94.28 %</w:t>
            </w:r>
          </w:p>
        </w:tc>
        <w:tc>
          <w:tcPr>
            <w:tcW w:w="0" w:type="dxa"/>
            <w:vAlign w:val="bottom"/>
          </w:tcPr>
          <w:p>
            <w:pPr>
              <w:spacing w:after="0"/>
              <w:rPr>
                <w:sz w:val="1"/>
                <w:szCs w:val="1"/>
                <w:color w:val="auto"/>
              </w:rPr>
            </w:pPr>
          </w:p>
        </w:tc>
      </w:tr>
      <w:tr>
        <w:trPr>
          <w:trHeight w:val="236"/>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3,979</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250,646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3,260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205,403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22.03 %</w:t>
            </w:r>
          </w:p>
        </w:tc>
        <w:tc>
          <w:tcPr>
            <w:tcW w:w="0" w:type="dxa"/>
            <w:vAlign w:val="bottom"/>
          </w:tcPr>
          <w:p>
            <w:pPr>
              <w:spacing w:after="0"/>
              <w:rPr>
                <w:sz w:val="1"/>
                <w:szCs w:val="1"/>
                <w:color w:val="auto"/>
              </w:rPr>
            </w:pPr>
          </w:p>
        </w:tc>
      </w:tr>
      <w:tr>
        <w:trPr>
          <w:trHeight w:val="243"/>
        </w:trPr>
        <w:tc>
          <w:tcPr>
            <w:tcW w:w="1220" w:type="dxa"/>
            <w:vAlign w:val="bottom"/>
            <w:tcBorders>
              <w:top w:val="single" w:sz="8" w:color="D5DCE4"/>
              <w:right w:val="single" w:sz="8" w:color="D5DCE4"/>
            </w:tcBorders>
            <w:shd w:val="clear" w:color="auto" w:fill="D5DCE4"/>
          </w:tcPr>
          <w:p>
            <w:pPr>
              <w:spacing w:after="0"/>
              <w:rPr>
                <w:sz w:val="21"/>
                <w:szCs w:val="21"/>
                <w:color w:val="auto"/>
              </w:rPr>
            </w:pPr>
          </w:p>
        </w:tc>
        <w:tc>
          <w:tcPr>
            <w:tcW w:w="31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D5DCE4"/>
          </w:tcPr>
          <w:p>
            <w:pPr>
              <w:spacing w:after="0"/>
              <w:rPr>
                <w:sz w:val="21"/>
                <w:szCs w:val="21"/>
                <w:color w:val="auto"/>
              </w:rPr>
            </w:pPr>
          </w:p>
        </w:tc>
        <w:tc>
          <w:tcPr>
            <w:tcW w:w="9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23,535</w:t>
            </w:r>
          </w:p>
        </w:tc>
        <w:tc>
          <w:tcPr>
            <w:tcW w:w="440" w:type="dxa"/>
            <w:vAlign w:val="bottom"/>
            <w:tcBorders>
              <w:top w:val="single" w:sz="8" w:color="auto"/>
              <w:bottom w:val="single" w:sz="8" w:color="auto"/>
            </w:tcBorders>
            <w:shd w:val="clear" w:color="auto" w:fill="D5DCE4"/>
          </w:tcPr>
          <w:p>
            <w:pPr>
              <w:spacing w:after="0"/>
              <w:rPr>
                <w:sz w:val="21"/>
                <w:szCs w:val="21"/>
                <w:color w:val="auto"/>
              </w:rPr>
            </w:pPr>
          </w:p>
        </w:tc>
        <w:tc>
          <w:tcPr>
            <w:tcW w:w="10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1,482,697</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280" w:type="dxa"/>
            <w:vAlign w:val="bottom"/>
            <w:tcBorders>
              <w:top w:val="single" w:sz="8" w:color="auto"/>
              <w:bottom w:val="single" w:sz="8" w:color="auto"/>
            </w:tcBorders>
            <w:shd w:val="clear" w:color="auto" w:fill="D5DCE4"/>
          </w:tcPr>
          <w:p>
            <w:pPr>
              <w:spacing w:after="0"/>
              <w:rPr>
                <w:sz w:val="21"/>
                <w:szCs w:val="21"/>
                <w:color w:val="auto"/>
              </w:rPr>
            </w:pPr>
          </w:p>
        </w:tc>
        <w:tc>
          <w:tcPr>
            <w:tcW w:w="98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17,232</w:t>
            </w:r>
          </w:p>
        </w:tc>
        <w:tc>
          <w:tcPr>
            <w:tcW w:w="140" w:type="dxa"/>
            <w:vAlign w:val="bottom"/>
            <w:tcBorders>
              <w:top w:val="single" w:sz="8" w:color="auto"/>
              <w:bottom w:val="single" w:sz="8" w:color="auto"/>
            </w:tcBorders>
            <w:shd w:val="clear" w:color="auto" w:fill="D5DCE4"/>
          </w:tcPr>
          <w:p>
            <w:pPr>
              <w:spacing w:after="0"/>
              <w:rPr>
                <w:sz w:val="21"/>
                <w:szCs w:val="21"/>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1,085,646</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34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36.57 %</w:t>
            </w: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3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541,403</w:t>
            </w: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33,641,288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400,884</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24,585,919</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35.05 %</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3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3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 (Repo)</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524,267</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32,578,527</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383,070</w:t>
            </w:r>
          </w:p>
        </w:tc>
        <w:tc>
          <w:tcPr>
            <w:tcW w:w="1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23,498,024</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36.86 %</w:t>
            </w:r>
          </w:p>
        </w:tc>
        <w:tc>
          <w:tcPr>
            <w:tcW w:w="0" w:type="dxa"/>
            <w:vAlign w:val="bottom"/>
          </w:tcPr>
          <w:p>
            <w:pPr>
              <w:spacing w:after="0"/>
              <w:rPr>
                <w:sz w:val="1"/>
                <w:szCs w:val="1"/>
                <w:color w:val="auto"/>
              </w:rPr>
            </w:pPr>
          </w:p>
        </w:tc>
      </w:tr>
      <w:tr>
        <w:trPr>
          <w:trHeight w:val="236"/>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17,136</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1,062,761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17,813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1,087,895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9"/>
        </w:trPr>
        <w:tc>
          <w:tcPr>
            <w:tcW w:w="1220" w:type="dxa"/>
            <w:vAlign w:val="bottom"/>
            <w:tcBorders>
              <w:top w:val="single" w:sz="8" w:color="D5DCE4"/>
              <w:right w:val="single" w:sz="8" w:color="D5DCE4"/>
            </w:tcBorders>
            <w:shd w:val="clear" w:color="auto" w:fill="D5DCE4"/>
          </w:tcPr>
          <w:p>
            <w:pPr>
              <w:spacing w:after="0"/>
              <w:rPr>
                <w:sz w:val="20"/>
                <w:szCs w:val="20"/>
                <w:color w:val="auto"/>
              </w:rPr>
            </w:pPr>
          </w:p>
        </w:tc>
        <w:tc>
          <w:tcPr>
            <w:tcW w:w="31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D5DCE4"/>
          </w:tcPr>
          <w:p>
            <w:pPr>
              <w:spacing w:after="0"/>
              <w:rPr>
                <w:sz w:val="20"/>
                <w:szCs w:val="20"/>
                <w:color w:val="auto"/>
              </w:rPr>
            </w:pPr>
          </w:p>
        </w:tc>
        <w:tc>
          <w:tcPr>
            <w:tcW w:w="9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541,403</w:t>
            </w:r>
          </w:p>
        </w:tc>
        <w:tc>
          <w:tcPr>
            <w:tcW w:w="440" w:type="dxa"/>
            <w:vAlign w:val="bottom"/>
            <w:tcBorders>
              <w:top w:val="single" w:sz="8" w:color="auto"/>
              <w:bottom w:val="single" w:sz="8" w:color="auto"/>
            </w:tcBorders>
            <w:shd w:val="clear" w:color="auto" w:fill="D5DCE4"/>
          </w:tcPr>
          <w:p>
            <w:pPr>
              <w:spacing w:after="0"/>
              <w:rPr>
                <w:sz w:val="20"/>
                <w:szCs w:val="20"/>
                <w:color w:val="auto"/>
              </w:rPr>
            </w:pPr>
          </w:p>
        </w:tc>
        <w:tc>
          <w:tcPr>
            <w:tcW w:w="10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33,641,288</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280" w:type="dxa"/>
            <w:vAlign w:val="bottom"/>
            <w:tcBorders>
              <w:top w:val="single" w:sz="8" w:color="auto"/>
              <w:bottom w:val="single" w:sz="8" w:color="auto"/>
            </w:tcBorders>
            <w:shd w:val="clear" w:color="auto" w:fill="D5DCE4"/>
          </w:tcPr>
          <w:p>
            <w:pPr>
              <w:spacing w:after="0"/>
              <w:rPr>
                <w:sz w:val="20"/>
                <w:szCs w:val="20"/>
                <w:color w:val="auto"/>
              </w:rPr>
            </w:pPr>
          </w:p>
        </w:tc>
        <w:tc>
          <w:tcPr>
            <w:tcW w:w="98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400,884</w:t>
            </w:r>
          </w:p>
        </w:tc>
        <w:tc>
          <w:tcPr>
            <w:tcW w:w="140" w:type="dxa"/>
            <w:vAlign w:val="bottom"/>
            <w:tcBorders>
              <w:top w:val="single" w:sz="8" w:color="auto"/>
              <w:bottom w:val="single" w:sz="8" w:color="auto"/>
            </w:tcBorders>
            <w:shd w:val="clear" w:color="auto" w:fill="D5DCE4"/>
          </w:tcPr>
          <w:p>
            <w:pPr>
              <w:spacing w:after="0"/>
              <w:rPr>
                <w:sz w:val="20"/>
                <w:szCs w:val="20"/>
                <w:color w:val="auto"/>
              </w:rPr>
            </w:pPr>
          </w:p>
        </w:tc>
        <w:tc>
          <w:tcPr>
            <w:tcW w:w="12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24,585,919</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34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35.05 %</w:t>
            </w:r>
          </w:p>
        </w:tc>
        <w:tc>
          <w:tcPr>
            <w:tcW w:w="0" w:type="dxa"/>
            <w:vAlign w:val="bottom"/>
          </w:tcPr>
          <w:p>
            <w:pPr>
              <w:spacing w:after="0"/>
              <w:rPr>
                <w:sz w:val="1"/>
                <w:szCs w:val="1"/>
                <w:color w:val="auto"/>
              </w:rPr>
            </w:pPr>
          </w:p>
        </w:tc>
      </w:tr>
      <w:tr>
        <w:trPr>
          <w:trHeight w:val="200"/>
        </w:trPr>
        <w:tc>
          <w:tcPr>
            <w:tcW w:w="1220" w:type="dxa"/>
            <w:vAlign w:val="bottom"/>
            <w:tcBorders>
              <w:bottom w:val="single" w:sz="8" w:color="D5DCE4"/>
            </w:tcBorders>
          </w:tcPr>
          <w:p>
            <w:pPr>
              <w:spacing w:after="0"/>
              <w:rPr>
                <w:sz w:val="17"/>
                <w:szCs w:val="17"/>
                <w:color w:val="auto"/>
              </w:rPr>
            </w:pPr>
          </w:p>
        </w:tc>
        <w:tc>
          <w:tcPr>
            <w:tcW w:w="302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20" w:type="dxa"/>
            <w:vAlign w:val="bottom"/>
            <w:tcBorders>
              <w:right w:val="single" w:sz="8" w:color="D5DCE4"/>
            </w:tcBorders>
            <w:shd w:val="clear" w:color="auto" w:fill="D5DCE4"/>
          </w:tcPr>
          <w:p>
            <w:pPr>
              <w:spacing w:after="0"/>
              <w:rPr>
                <w:sz w:val="16"/>
                <w:szCs w:val="16"/>
                <w:color w:val="auto"/>
              </w:rPr>
            </w:pPr>
          </w:p>
        </w:tc>
        <w:tc>
          <w:tcPr>
            <w:tcW w:w="3020" w:type="dxa"/>
            <w:vAlign w:val="bottom"/>
            <w:shd w:val="clear" w:color="auto" w:fill="D5DCE4"/>
          </w:tcPr>
          <w:p>
            <w:pPr>
              <w:spacing w:after="0"/>
              <w:rPr>
                <w:sz w:val="16"/>
                <w:szCs w:val="16"/>
                <w:color w:val="auto"/>
              </w:rPr>
            </w:pPr>
          </w:p>
        </w:tc>
        <w:tc>
          <w:tcPr>
            <w:tcW w:w="120" w:type="dxa"/>
            <w:vAlign w:val="bottom"/>
            <w:tcBorders>
              <w:right w:val="single" w:sz="8" w:color="auto"/>
            </w:tcBorders>
            <w:shd w:val="clear" w:color="auto" w:fill="D5DCE4"/>
          </w:tcPr>
          <w:p>
            <w:pPr>
              <w:spacing w:after="0"/>
              <w:rPr>
                <w:sz w:val="16"/>
                <w:szCs w:val="16"/>
                <w:color w:val="auto"/>
              </w:rPr>
            </w:pPr>
          </w:p>
        </w:tc>
        <w:tc>
          <w:tcPr>
            <w:tcW w:w="260" w:type="dxa"/>
            <w:vAlign w:val="bottom"/>
            <w:shd w:val="clear" w:color="auto" w:fill="D5DCE4"/>
          </w:tcPr>
          <w:p>
            <w:pPr>
              <w:spacing w:after="0"/>
              <w:rPr>
                <w:sz w:val="16"/>
                <w:szCs w:val="16"/>
                <w:color w:val="auto"/>
              </w:rPr>
            </w:pPr>
          </w:p>
        </w:tc>
        <w:tc>
          <w:tcPr>
            <w:tcW w:w="980" w:type="dxa"/>
            <w:vAlign w:val="bottom"/>
            <w:tcBorders>
              <w:right w:val="single" w:sz="8" w:color="auto"/>
            </w:tcBorders>
            <w:shd w:val="clear" w:color="auto" w:fill="D5DCE4"/>
          </w:tcPr>
          <w:p>
            <w:pPr>
              <w:spacing w:after="0"/>
              <w:rPr>
                <w:sz w:val="16"/>
                <w:szCs w:val="16"/>
                <w:color w:val="auto"/>
              </w:rPr>
            </w:pPr>
          </w:p>
        </w:tc>
        <w:tc>
          <w:tcPr>
            <w:tcW w:w="440" w:type="dxa"/>
            <w:vAlign w:val="bottom"/>
            <w:shd w:val="clear" w:color="auto" w:fill="D5DCE4"/>
          </w:tcPr>
          <w:p>
            <w:pPr>
              <w:spacing w:after="0"/>
              <w:rPr>
                <w:sz w:val="16"/>
                <w:szCs w:val="16"/>
                <w:color w:val="auto"/>
              </w:rPr>
            </w:pPr>
          </w:p>
        </w:tc>
        <w:tc>
          <w:tcPr>
            <w:tcW w:w="100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280" w:type="dxa"/>
            <w:vAlign w:val="bottom"/>
            <w:shd w:val="clear" w:color="auto" w:fill="D5DCE4"/>
          </w:tcPr>
          <w:p>
            <w:pPr>
              <w:spacing w:after="0"/>
              <w:rPr>
                <w:sz w:val="16"/>
                <w:szCs w:val="16"/>
                <w:color w:val="auto"/>
              </w:rPr>
            </w:pPr>
          </w:p>
        </w:tc>
        <w:tc>
          <w:tcPr>
            <w:tcW w:w="980" w:type="dxa"/>
            <w:vAlign w:val="bottom"/>
            <w:tcBorders>
              <w:right w:val="single" w:sz="8" w:color="auto"/>
            </w:tcBorders>
            <w:shd w:val="clear" w:color="auto" w:fill="D5DCE4"/>
          </w:tcPr>
          <w:p>
            <w:pPr>
              <w:spacing w:after="0"/>
              <w:rPr>
                <w:sz w:val="16"/>
                <w:szCs w:val="16"/>
                <w:color w:val="auto"/>
              </w:rPr>
            </w:pPr>
          </w:p>
        </w:tc>
        <w:tc>
          <w:tcPr>
            <w:tcW w:w="140" w:type="dxa"/>
            <w:vAlign w:val="bottom"/>
            <w:shd w:val="clear" w:color="auto" w:fill="D5DCE4"/>
          </w:tcPr>
          <w:p>
            <w:pPr>
              <w:spacing w:after="0"/>
              <w:rPr>
                <w:sz w:val="16"/>
                <w:szCs w:val="16"/>
                <w:color w:val="auto"/>
              </w:rPr>
            </w:pPr>
          </w:p>
        </w:tc>
        <w:tc>
          <w:tcPr>
            <w:tcW w:w="1380" w:type="dxa"/>
            <w:vAlign w:val="bottom"/>
            <w:tcBorders>
              <w:right w:val="single" w:sz="8" w:color="auto"/>
            </w:tcBorders>
            <w:gridSpan w:val="2"/>
            <w:shd w:val="clear" w:color="auto" w:fill="D5DCE4"/>
          </w:tcPr>
          <w:p>
            <w:pPr>
              <w:jc w:val="center"/>
              <w:ind w:right="240"/>
              <w:spacing w:after="0"/>
              <w:rPr>
                <w:sz w:val="20"/>
                <w:szCs w:val="20"/>
                <w:color w:val="auto"/>
              </w:rPr>
            </w:pPr>
            <w:r>
              <w:rPr>
                <w:rFonts w:ascii="Arial" w:cs="Arial" w:eastAsia="Arial" w:hAnsi="Arial"/>
                <w:sz w:val="16"/>
                <w:szCs w:val="16"/>
                <w:b w:val="1"/>
                <w:bCs w:val="1"/>
                <w:color w:val="auto"/>
              </w:rPr>
              <w:t>Volume (USD</w:t>
            </w:r>
          </w:p>
        </w:tc>
        <w:tc>
          <w:tcPr>
            <w:tcW w:w="1340" w:type="dxa"/>
            <w:vAlign w:val="bottom"/>
            <w:tcBorders>
              <w:right w:val="single" w:sz="8" w:color="auto"/>
            </w:tcBorders>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240" w:type="dxa"/>
            <w:vAlign w:val="bottom"/>
            <w:tcBorders>
              <w:bottom w:val="single" w:sz="8" w:color="auto"/>
              <w:right w:val="single" w:sz="8" w:color="auto"/>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60" w:type="dxa"/>
            <w:vAlign w:val="bottom"/>
            <w:tcBorders>
              <w:bottom w:val="single" w:sz="8" w:color="auto"/>
              <w:right w:val="single" w:sz="8" w:color="auto"/>
            </w:tcBorders>
            <w:gridSpan w:val="2"/>
            <w:shd w:val="clear" w:color="auto" w:fill="D5DCE4"/>
          </w:tcPr>
          <w:p>
            <w:pPr>
              <w:ind w:left="40"/>
              <w:spacing w:after="0"/>
              <w:rPr>
                <w:sz w:val="20"/>
                <w:szCs w:val="20"/>
                <w:color w:val="auto"/>
              </w:rPr>
            </w:pPr>
            <w:r>
              <w:rPr>
                <w:rFonts w:ascii="Arial" w:cs="Arial" w:eastAsia="Arial" w:hAnsi="Arial"/>
                <w:sz w:val="16"/>
                <w:szCs w:val="16"/>
                <w:b w:val="1"/>
                <w:bCs w:val="1"/>
                <w:color w:val="auto"/>
              </w:rPr>
              <w:t>ADV (USD mm)</w:t>
            </w:r>
          </w:p>
        </w:tc>
        <w:tc>
          <w:tcPr>
            <w:tcW w:w="140" w:type="dxa"/>
            <w:vAlign w:val="bottom"/>
            <w:tcBorders>
              <w:bottom w:val="single" w:sz="8" w:color="auto"/>
            </w:tcBorders>
            <w:shd w:val="clear" w:color="auto" w:fill="D5DCE4"/>
          </w:tcPr>
          <w:p>
            <w:pPr>
              <w:spacing w:after="0"/>
              <w:rPr>
                <w:sz w:val="20"/>
                <w:szCs w:val="20"/>
                <w:color w:val="auto"/>
              </w:rPr>
            </w:pPr>
          </w:p>
        </w:tc>
        <w:tc>
          <w:tcPr>
            <w:tcW w:w="1380" w:type="dxa"/>
            <w:vAlign w:val="bottom"/>
            <w:tcBorders>
              <w:bottom w:val="single" w:sz="8" w:color="auto"/>
              <w:right w:val="single" w:sz="8" w:color="auto"/>
            </w:tcBorders>
            <w:gridSpan w:val="2"/>
            <w:shd w:val="clear" w:color="auto" w:fill="D5DCE4"/>
          </w:tcPr>
          <w:p>
            <w:pPr>
              <w:jc w:val="center"/>
              <w:ind w:right="240"/>
              <w:spacing w:after="0"/>
              <w:rPr>
                <w:sz w:val="20"/>
                <w:szCs w:val="20"/>
                <w:color w:val="auto"/>
              </w:rPr>
            </w:pPr>
            <w:r>
              <w:rPr>
                <w:rFonts w:ascii="Arial" w:cs="Arial" w:eastAsia="Arial" w:hAnsi="Arial"/>
                <w:sz w:val="16"/>
                <w:szCs w:val="16"/>
                <w:b w:val="1"/>
                <w:bCs w:val="1"/>
                <w:color w:val="auto"/>
              </w:rPr>
              <w:t>mm)</w:t>
            </w:r>
          </w:p>
        </w:tc>
        <w:tc>
          <w:tcPr>
            <w:tcW w:w="1340" w:type="dxa"/>
            <w:vAlign w:val="bottom"/>
            <w:tcBorders>
              <w:bottom w:val="single" w:sz="8" w:color="auto"/>
              <w:right w:val="single" w:sz="8" w:color="auto"/>
            </w:tcBorders>
            <w:shd w:val="clear" w:color="auto" w:fill="D5DCE4"/>
          </w:tcPr>
          <w:p>
            <w:pPr>
              <w:ind w:left="50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1,676,839</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104,369,825</w:t>
            </w: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1,068,886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65,750,558</w:t>
            </w:r>
          </w:p>
        </w:tc>
        <w:tc>
          <w:tcPr>
            <w:tcW w:w="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56.90 %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40" w:right="40" w:hanging="414"/>
        <w:spacing w:after="0" w:line="294" w:lineRule="auto"/>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Total volume across Rates (Cash and Derivatives), Credit and Money Markets include Australia and New Zealand estimated volumes from the Yieldbroker business that Tradeweb acquired on August 31, 2023.</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32"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73"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1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AND FULL YEAR RESULTS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interim and full year financial results presented herein for the three months and the year ended December 31, 2023 and 2022 are unaudited.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10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2024 guidance and full-year 2024 and 2025 revenue guidance related to the LSEG market data license agreement, future performance, the industry and markets in which we operate, our expectations, beliefs, plans, strategies, objectives, prospects and assumptions and future events are forward-looking statements.</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3"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8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9" w:right="339" w:bottom="1440" w:gutter="0" w:footer="0" w:header="0"/>
        </w:sectPr>
      </w:pPr>
    </w:p>
    <w:bookmarkStart w:id="13" w:name="page14"/>
    <w:bookmarkEnd w:id="13"/>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amp;"/>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2024-02-06T06:07:34Z</dcterms:created>
  <dcterms:modified xsi:type="dcterms:W3CDTF">2024-02-06T06:07:34Z</dcterms:modified>
</cp:coreProperties>
</file>