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6"/>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750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42,531</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6,003 unvested restricted stock units ("RSUs") in respect of the issuer's class A common stock ("Class A Common Stock") which are scheduled to vest in equal installments on each of March 17, 2022, and March 17, 2023, (ii) 18,008 unvested RSUs in respect of Class A Common Stock which are scheduled to vest on January 1, 2023, (iii) 5,090 unvested RSUs in respect of Class A Common Stock which are scheduled to vest in equal installments on each of the first, second and third anniversaries of March 15, 2021, and (iv) 10,180 unvested RSUs in respect of Class A Common Stock which are scheduled to vest on January 1, 2024, in each case subject to the reporting person's continued employment through the applicable vesting date.</w:t>
      </w:r>
    </w:p>
    <w:p>
      <w:pPr>
        <w:spacing w:after="0" w:line="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03/09/2022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2022-03-09T16:33:17Z</dcterms:created>
  <dcterms:modified xsi:type="dcterms:W3CDTF">2022-03-09T16:33:17Z</dcterms:modified>
</cp:coreProperties>
</file>