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7773124.xml.htm"/>
      <w:bookmarkStart w:id="1" w:name="kswkform4_17077731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Hult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6"/>
        <w:gridCol w:w="906"/>
        <w:gridCol w:w="775"/>
        <w:gridCol w:w="602"/>
        <w:gridCol w:w="351"/>
        <w:gridCol w:w="979"/>
        <w:gridCol w:w="459"/>
        <w:gridCol w:w="622"/>
        <w:gridCol w:w="1204"/>
        <w:gridCol w:w="1004"/>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78,191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211,391</w:t>
            </w:r>
            <w:r>
              <w:rPr>
                <w:rFonts w:ascii="Times;serif" w:hAnsi="Times;serif"/>
                <w:color w:val="008000"/>
                <w:position w:val="7"/>
                <w:sz w:val="16"/>
                <w:sz w:val="20"/>
                <w:shd w:fill="FFFFFF" w:val="clear"/>
              </w:rPr>
              <w:t>(2)</w:t>
            </w:r>
            <w:r>
              <w:rPr/>
              <w:t xml:space="preserve"> </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8,281 unvested RSUs in respect of the Class A Common Stock that are scheduled to vest on March 15, 2024, (ii) 17,309 unvested RSUs in respect of Class A Common Stock that are scheduled to vest in equal installments on March 15, 2024 and March 15, 2025, (iii) 31,268 unvested RSUs in respect of Class A Common Stock that are scheduled to vest on January 1, 2025, and (iv) 43,128 unvested RSUs in respect of Class A Common Stock which are scheduled to vest in equal installments on March 15, 2024, March 15, 2025 and March 15, 2026,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William Hult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1194"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772</Words>
  <Characters>4116</Characters>
  <CharactersWithSpaces>4826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