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Tradeweb Markets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001-38860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83-2456358</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1177 Avenue of the Americas</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On March 31, 2023, Tradeweb Markets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wholly owned subsidiary of Tradeweb Markets Inc., and Citibank N.A., as administrative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entered into Amendment No. 2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Credit Agreement, dated as of April 8, 2019 (as amended,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Borrower, the several banks and other financial institutions or entities from time to time parties thereto as lenders, and the Administrative Agent. The Amendment replaced (i) the London Interbank Offered Rate (“</w:t>
      </w:r>
      <w:r>
        <w:rPr>
          <w:rFonts w:ascii="Times New Roman" w:cs="Times New Roman" w:eastAsia="Times New Roman" w:hAnsi="Times New Roman"/>
          <w:sz w:val="18"/>
          <w:szCs w:val="18"/>
          <w:u w:val="single" w:color="auto"/>
          <w:color w:val="auto"/>
        </w:rPr>
        <w:t>LIBOR</w:t>
      </w:r>
      <w:r>
        <w:rPr>
          <w:rFonts w:ascii="Times New Roman" w:cs="Times New Roman" w:eastAsia="Times New Roman" w:hAnsi="Times New Roman"/>
          <w:sz w:val="18"/>
          <w:szCs w:val="18"/>
          <w:color w:val="auto"/>
        </w:rPr>
        <w:t>”) interest rate benchmark with the Secured Overnight Financing Rate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benchmark, with a 0.10% credit spread adjustment to the SOFR benchmark for all available interest periods, for loans denominated in U.S. Dollars, and (ii) the LIBOR benchmark with the Sterling Overnight Index Average (“</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benchmark for loans denominated in Sterling, with no credit spread adjustment to the SONIA benchmark. Other than the foregoing, the material terms of the Credit Agreement remain unchanged.</w:t>
      </w:r>
    </w:p>
    <w:p>
      <w:pPr>
        <w:spacing w:after="0" w:line="19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subject to, and qualified in its entirety by, the full text of the Amendment, which is filed as Exhibit 10.1 hereto and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73"/>
        </w:trPr>
        <w:tc>
          <w:tcPr>
            <w:tcW w:w="500" w:type="dxa"/>
            <w:vAlign w:val="bottom"/>
            <w:tcBorders>
              <w:bottom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9860" w:type="dxa"/>
            <w:vAlign w:val="bottom"/>
            <w:gridSpan w:val="5"/>
          </w:tcPr>
          <w:p>
            <w:pPr>
              <w:ind w:left="4380"/>
              <w:spacing w:after="0" w:line="153" w:lineRule="exact"/>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2"/>
                <w:szCs w:val="22"/>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Amendment No. 2, dated as of March 31, 2023, by and between Tradeweb Markets LLC and Citibank, N.A., as administrative agent,</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relating to the Credit Agreement, dated as of April 8, 2019, among Tradeweb Markets LLC, the lenders party thereto and Citibank, N.A.,</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as administrative agent, collateral agent, issuing bank and swing line lender.</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TRADEWEB MARKETS INC.</w:t>
      </w:r>
    </w:p>
    <w:p>
      <w:pPr>
        <w:spacing w:after="0" w:line="225" w:lineRule="exact"/>
        <w:rPr>
          <w:sz w:val="20"/>
          <w:szCs w:val="20"/>
          <w:color w:val="auto"/>
        </w:rPr>
      </w:pPr>
    </w:p>
    <w:p>
      <w:pPr>
        <w:ind w:left="980"/>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April 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Douglas Friedman</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2</w:t>
      </w:r>
    </w:p>
    <w:p>
      <w:pPr>
        <w:spacing w:after="0" w:line="220" w:lineRule="exact"/>
        <w:rPr>
          <w:sz w:val="20"/>
          <w:szCs w:val="20"/>
          <w:color w:val="auto"/>
        </w:rPr>
      </w:pPr>
    </w:p>
    <w:p>
      <w:pPr>
        <w:jc w:val="both"/>
        <w:ind w:right="20" w:firstLine="551"/>
        <w:spacing w:after="0" w:line="249" w:lineRule="auto"/>
        <w:rPr>
          <w:sz w:val="20"/>
          <w:szCs w:val="20"/>
          <w:color w:val="auto"/>
        </w:rPr>
      </w:pPr>
      <w:r>
        <w:rPr>
          <w:rFonts w:ascii="Times New Roman" w:cs="Times New Roman" w:eastAsia="Times New Roman" w:hAnsi="Times New Roman"/>
          <w:sz w:val="20"/>
          <w:szCs w:val="20"/>
          <w:color w:val="auto"/>
        </w:rPr>
        <w:t>AMENDMENT NO. 2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March 31, 2023, among Tradeweb Markets LLC,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Citibank, N.A., as Administrative Agent, relating to the Credit Agreement, dated as of April 8, 2019 (as amended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among the Borrower, the Lenders party thereto, and Citibank, N.A., as Administrative Agent, Collateral Agent, Issuing Bank and Swing Line Lender.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WHEREAS, the Loans under the Existing Credit Agreement incur or are permitted to incur interest, fees, commissions or other amounts based on the London Interbank Offered Rate as administered by the ICE Benchmark Administration (“</w:t>
      </w:r>
      <w:r>
        <w:rPr>
          <w:rFonts w:ascii="Times New Roman" w:cs="Times New Roman" w:eastAsia="Times New Roman" w:hAnsi="Times New Roman"/>
          <w:sz w:val="20"/>
          <w:szCs w:val="20"/>
          <w:u w:val="single" w:color="auto"/>
          <w:color w:val="auto"/>
        </w:rPr>
        <w:t>LIBOR</w:t>
      </w:r>
      <w:r>
        <w:rPr>
          <w:rFonts w:ascii="Times New Roman" w:cs="Times New Roman" w:eastAsia="Times New Roman" w:hAnsi="Times New Roman"/>
          <w:sz w:val="20"/>
          <w:szCs w:val="20"/>
          <w:color w:val="auto"/>
        </w:rPr>
        <w:t>”) in accordance with the terms of the Existing Credit Agreement</w:t>
      </w:r>
    </w:p>
    <w:p>
      <w:pPr>
        <w:spacing w:after="0" w:line="174" w:lineRule="exact"/>
        <w:rPr>
          <w:sz w:val="20"/>
          <w:szCs w:val="20"/>
          <w:color w:val="auto"/>
        </w:rPr>
      </w:pPr>
    </w:p>
    <w:p>
      <w:pPr>
        <w:jc w:val="both"/>
        <w:ind w:right="20" w:firstLine="551"/>
        <w:spacing w:after="0" w:line="254" w:lineRule="auto"/>
        <w:rPr>
          <w:sz w:val="20"/>
          <w:szCs w:val="20"/>
          <w:color w:val="auto"/>
        </w:rPr>
      </w:pPr>
      <w:r>
        <w:rPr>
          <w:rFonts w:ascii="Times New Roman" w:cs="Times New Roman" w:eastAsia="Times New Roman" w:hAnsi="Times New Roman"/>
          <w:sz w:val="20"/>
          <w:szCs w:val="20"/>
          <w:color w:val="auto"/>
        </w:rPr>
        <w:t>WHEREAS, the supervisor for the administrator of LIBOR or a Governmental Authority having jurisdiction over the Administrative Agent has made a public statement identifying a specific date after which LIBOR shall no longer be made available, or used for determining the interest rate of loans; and</w:t>
      </w:r>
    </w:p>
    <w:p>
      <w:pPr>
        <w:spacing w:after="0" w:line="174"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color w:val="auto"/>
        </w:rPr>
        <w:t>WHEREAS, pursuant to the definition of “Eurocurrency Rate” in the Existing Credit Agreement, the Administrative Agent and the Borrower may amend the Existing Credit Agreement to replace LIBOR with an alternate benchmark rate, together with any proposed Eurocurrency Successor Rate Conforming Changes and any such amendment shall become effective at 5:00 p.m. (New York time) on the fifth Business Day after the Administrative Agent shall have posted this Amendment to all Lenders and the Borrower unless, prior to such time, Lenders comprising the Required Lenders have delivered to the Administrative Agent notice that such Required Lenders do not accept this Amendment.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NOW THEREFORE, the parties hereto therefore agree as follows:</w:t>
      </w:r>
    </w:p>
    <w:p>
      <w:pPr>
        <w:spacing w:after="0" w:line="212"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i w:val="1"/>
          <w:iCs w:val="1"/>
          <w:color w:val="auto"/>
        </w:rPr>
        <w:t>. Defined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otherwise specifically defined herein, each term used herein that is defined in the Existing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has the meaning assigned to such term in the Existing Credit Agreement.</w:t>
      </w:r>
    </w:p>
    <w:p>
      <w:pPr>
        <w:spacing w:after="0" w:line="152" w:lineRule="exact"/>
        <w:rPr>
          <w:sz w:val="20"/>
          <w:szCs w:val="20"/>
          <w:color w:val="auto"/>
        </w:rPr>
      </w:pPr>
    </w:p>
    <w:p>
      <w:pPr>
        <w:jc w:val="both"/>
        <w:ind w:firstLine="551"/>
        <w:spacing w:after="0" w:line="247" w:lineRule="auto"/>
        <w:rPr>
          <w:sz w:val="20"/>
          <w:szCs w:val="20"/>
          <w:color w:val="auto"/>
        </w:rPr>
      </w:pP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Amendments to Existing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Existing Credit Agreement is, as of the Amendment No. 2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and subject to the satisfaction of the conditions precedent set forth in Section 4 of this Amendment, hereby amended (the Existing Credit Agreement, as so amended,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xml:space="preserve">”), to delete the stricken text (indicated textually in the same manner as the following example: </w:t>
      </w:r>
      <w:r>
        <w:rPr>
          <w:rFonts w:ascii="Times New Roman" w:cs="Times New Roman" w:eastAsia="Times New Roman" w:hAnsi="Times New Roman"/>
          <w:sz w:val="20"/>
          <w:szCs w:val="20"/>
          <w:b w:val="1"/>
          <w:bCs w:val="1"/>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b w:val="1"/>
          <w:bCs w:val="1"/>
          <w:u w:val="single" w:color="auto"/>
          <w:color w:val="0000FF"/>
        </w:rPr>
        <w:t>double-underlined text</w:t>
      </w:r>
      <w:r>
        <w:rPr>
          <w:rFonts w:ascii="Times New Roman" w:cs="Times New Roman" w:eastAsia="Times New Roman" w:hAnsi="Times New Roman"/>
          <w:sz w:val="20"/>
          <w:szCs w:val="20"/>
          <w:color w:val="auto"/>
        </w:rPr>
        <w:t xml:space="preserve">) as set forth in the pages of the Amended Credit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i w:val="1"/>
          <w:iCs w:val="1"/>
          <w:color w:val="auto"/>
        </w:rPr>
        <w:t>. Representations of the Borrower.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hereby represents and warrants to the Consenting Lenders that:</w:t>
      </w:r>
    </w:p>
    <w:p>
      <w:pPr>
        <w:spacing w:after="0" w:line="220" w:lineRule="exact"/>
        <w:rPr>
          <w:sz w:val="20"/>
          <w:szCs w:val="20"/>
          <w:color w:val="auto"/>
        </w:rPr>
      </w:pPr>
    </w:p>
    <w:p>
      <w:pPr>
        <w:ind w:left="540" w:right="20" w:firstLine="530"/>
        <w:spacing w:after="0" w:line="269" w:lineRule="auto"/>
        <w:tabs>
          <w:tab w:leader="none" w:pos="134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Amendment are within the Borrower’s corporate or other powers and have been duly authorized by all necessary corporate or other action.</w:t>
      </w:r>
    </w:p>
    <w:p>
      <w:pPr>
        <w:spacing w:after="0" w:line="159" w:lineRule="exact"/>
        <w:rPr>
          <w:rFonts w:ascii="Times New Roman" w:cs="Times New Roman" w:eastAsia="Times New Roman" w:hAnsi="Times New Roman"/>
          <w:sz w:val="20"/>
          <w:szCs w:val="20"/>
          <w:color w:val="auto"/>
        </w:rPr>
      </w:pPr>
    </w:p>
    <w:p>
      <w:pPr>
        <w:jc w:val="both"/>
        <w:ind w:left="540" w:firstLine="530"/>
        <w:spacing w:after="0" w:line="254" w:lineRule="auto"/>
        <w:tabs>
          <w:tab w:leader="none" w:pos="13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 is duly organized, validly existing and in good standing under the laws of the jurisdiction of its organization, (b) has all requisite corporate power and authority to carry on its business as now conducted except where the failure to have the same would not reasonably be expected to have Material Adverse Effect and (c) is qualified to do business in, and</w:t>
      </w:r>
    </w:p>
    <w:p>
      <w:pPr>
        <w:sectPr>
          <w:pgSz w:w="11900" w:h="16838" w:orient="portrait"/>
          <w:cols w:equalWidth="0" w:num="1">
            <w:col w:w="11020"/>
          </w:cols>
          <w:pgMar w:left="440" w:top="114" w:right="439" w:bottom="1440" w:gutter="0" w:footer="0" w:header="0"/>
        </w:sectPr>
      </w:pPr>
    </w:p>
    <w:bookmarkStart w:id="4" w:name="page5"/>
    <w:bookmarkEnd w:id="4"/>
    <w:p>
      <w:pPr>
        <w:jc w:val="both"/>
        <w:ind w:left="54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74" w:lineRule="exact"/>
        <w:rPr>
          <w:sz w:val="20"/>
          <w:szCs w:val="20"/>
          <w:color w:val="auto"/>
        </w:rPr>
      </w:pPr>
    </w:p>
    <w:p>
      <w:pPr>
        <w:jc w:val="both"/>
        <w:ind w:left="540" w:right="20" w:firstLine="530"/>
        <w:spacing w:after="0" w:line="249" w:lineRule="auto"/>
        <w:tabs>
          <w:tab w:leader="none" w:pos="136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the Borrower and constitutes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9" w:lineRule="exact"/>
        <w:rPr>
          <w:rFonts w:ascii="Times New Roman" w:cs="Times New Roman" w:eastAsia="Times New Roman" w:hAnsi="Times New Roman"/>
          <w:sz w:val="20"/>
          <w:szCs w:val="20"/>
          <w:color w:val="auto"/>
        </w:rPr>
      </w:pPr>
    </w:p>
    <w:p>
      <w:pPr>
        <w:jc w:val="both"/>
        <w:ind w:left="540" w:firstLine="530"/>
        <w:spacing w:after="0" w:line="243" w:lineRule="auto"/>
        <w:tabs>
          <w:tab w:leader="none" w:pos="139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execution and delivery of this Amendment by the Borrower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Requirement of Law applicable to the Borrower, (d) will not violate or result in a default under any indenture, agreement or other instrument binding upon the Borrower or its assets, or give rise to a right thereunder to require any payment to be made by the Borrower or give rise to a right of, or result in, termination, cancellation or acceleration of any obligation thereunder, and (e) will not result in the creation or imposition of any Lien on any asset of the Borrower, except Liens permitted by Section 6.02 of the Existing Credit Agreement, except,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for any such violations, defaults or rights that, would not reasonably be expected to have a Material Adverse Effect.</w:t>
      </w:r>
    </w:p>
    <w:p>
      <w:pPr>
        <w:spacing w:after="0" w:line="182" w:lineRule="exact"/>
        <w:rPr>
          <w:sz w:val="20"/>
          <w:szCs w:val="20"/>
          <w:color w:val="auto"/>
        </w:rPr>
      </w:pPr>
    </w:p>
    <w:p>
      <w:pPr>
        <w:ind w:right="20"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i w:val="1"/>
          <w:iCs w:val="1"/>
          <w:color w:val="auto"/>
        </w:rPr>
        <w:t>. Conditions to the Amendment No. 2 Effective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become effective as of the first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 when each of the following conditions shall have been satisfied:</w:t>
      </w:r>
    </w:p>
    <w:p>
      <w:pPr>
        <w:spacing w:after="0" w:line="156" w:lineRule="exact"/>
        <w:rPr>
          <w:sz w:val="20"/>
          <w:szCs w:val="20"/>
          <w:color w:val="auto"/>
        </w:rPr>
      </w:pPr>
    </w:p>
    <w:p>
      <w:pPr>
        <w:ind w:left="540" w:right="20" w:firstLine="530"/>
        <w:spacing w:after="0" w:line="269" w:lineRule="auto"/>
        <w:tabs>
          <w:tab w:leader="none" w:pos="136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(i) the Borrower and (ii) the Administrative Agent an executed counterpart hereof.</w:t>
      </w:r>
    </w:p>
    <w:p>
      <w:pPr>
        <w:spacing w:after="0" w:line="159" w:lineRule="exact"/>
        <w:rPr>
          <w:rFonts w:ascii="Times New Roman" w:cs="Times New Roman" w:eastAsia="Times New Roman" w:hAnsi="Times New Roman"/>
          <w:sz w:val="20"/>
          <w:szCs w:val="20"/>
          <w:color w:val="auto"/>
        </w:rPr>
      </w:pPr>
    </w:p>
    <w:p>
      <w:pPr>
        <w:jc w:val="both"/>
        <w:ind w:left="540" w:right="20" w:firstLine="530"/>
        <w:spacing w:after="0" w:line="254" w:lineRule="auto"/>
        <w:tabs>
          <w:tab w:leader="none" w:pos="13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or concurrently herewith shall pay to the Administrative Agent, to the extent invoiced, the reasonable documented out-of-pocket expenses of the Administrative Agent in connection with this Amendment (including the reasonable documented fees and expenses of legal counsel).</w:t>
      </w:r>
    </w:p>
    <w:p>
      <w:pPr>
        <w:spacing w:after="0" w:line="174" w:lineRule="exact"/>
        <w:rPr>
          <w:rFonts w:ascii="Times New Roman" w:cs="Times New Roman" w:eastAsia="Times New Roman" w:hAnsi="Times New Roman"/>
          <w:sz w:val="20"/>
          <w:szCs w:val="20"/>
          <w:color w:val="auto"/>
        </w:rPr>
      </w:pPr>
    </w:p>
    <w:p>
      <w:pPr>
        <w:jc w:val="both"/>
        <w:ind w:left="540" w:right="20" w:firstLine="530"/>
        <w:spacing w:after="0" w:line="254" w:lineRule="auto"/>
        <w:tabs>
          <w:tab w:leader="none" w:pos="136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has not received, prior to 5:00 p.m. (New York time) on the fifth Business Day after the Administrative Agent shall have posted this Amendment to all Lenders and the Borrower, written notice from Lenders comprising the Required Lenders that such Required Lenders do not accept the Amendment.</w:t>
      </w:r>
    </w:p>
    <w:p>
      <w:pPr>
        <w:spacing w:after="0" w:line="170"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be governed by and construed and interpreted in accordance with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New York.</w:t>
      </w:r>
    </w:p>
    <w:p>
      <w:pPr>
        <w:spacing w:after="0" w:line="152"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i w:val="1"/>
          <w:iCs w:val="1"/>
          <w:color w:val="auto"/>
        </w:rPr>
        <w:t>. Fees &amp; Expenses.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Borrower hereby reconfirms its respective obligations pursuant to Section 9.03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Credit Agreement to pay all reasonable and documented out-of-pocket expenses incurred by the Administrative Agent in connection with this Amendment. In addition (and without limiting the foregoing), the Borrower agrees to reimburse the Administrative Agent for its reasonable out-of-pocket expenses in connection with this Amendment, including the reasonable fees, charges and disbursements of Cahill Gordon &amp; Reindel LLP, counsel for the Administrative Agent. The Borrower hereby confirms that the indemnification provisions set forth in Section 9.03 of the Amended Credit Agreement shall apply to this Amendment and the consummation and administration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20"/>
          </w:cols>
          <w:pgMar w:left="440" w:top="265" w:right="439" w:bottom="1440" w:gutter="0" w:footer="0" w:header="0"/>
        </w:sectPr>
      </w:pPr>
    </w:p>
    <w:bookmarkStart w:id="5" w:name="page6"/>
    <w:bookmarkEnd w:id="5"/>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contemplated hereby, and such liabilities, obligations, losses, damages, penalties, claims, demands, actions, judgments, suits, costs (including settlement costs) expenses and disbursements (including fees, disbursements and charges of counsel) (as more fully set forth therein as applicable) which may arise herefrom or in connection herewith.</w:t>
      </w:r>
    </w:p>
    <w:p>
      <w:pPr>
        <w:spacing w:after="0" w:line="170" w:lineRule="exact"/>
        <w:rPr>
          <w:sz w:val="20"/>
          <w:szCs w:val="20"/>
          <w:color w:val="auto"/>
        </w:rPr>
      </w:pPr>
    </w:p>
    <w:p>
      <w:pPr>
        <w:jc w:val="both"/>
        <w:ind w:firstLine="551"/>
        <w:spacing w:after="0" w:line="245" w:lineRule="auto"/>
        <w:rPr>
          <w:sz w:val="20"/>
          <w:szCs w:val="20"/>
          <w:color w:val="auto"/>
        </w:rPr>
      </w:pPr>
      <w:r>
        <w:rPr>
          <w:rFonts w:ascii="Times New Roman" w:cs="Times New Roman" w:eastAsia="Times New Roman" w:hAnsi="Times New Roman"/>
          <w:sz w:val="20"/>
          <w:szCs w:val="20"/>
          <w:b w:val="1"/>
          <w:bCs w:val="1"/>
          <w:color w:val="auto"/>
        </w:rPr>
        <w:t>SECTION 7</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Amended Credit Agreement Governs</w:t>
      </w:r>
      <w:r>
        <w:rPr>
          <w:rFonts w:ascii="Times New Roman" w:cs="Times New Roman" w:eastAsia="Times New Roman" w:hAnsi="Times New Roman"/>
          <w:sz w:val="20"/>
          <w:szCs w:val="20"/>
          <w:color w:val="auto"/>
        </w:rPr>
        <w:t>. Except as expressly set forth herein, this Amendment shall not by implication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otherwise limit, impair, constitute a waiver of or otherwise affect the rights and remedies of any Lender or the Administrative Agent under the Amended Credit Agreement or any other Loan Document, and shall not alter, modify, amend or in any way affect any of the terms, conditions, obligations, covenants or agreements contained in the Amended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Amended Credit Agreement or any other Loan Document in similar or different circumstances.</w:t>
      </w:r>
    </w:p>
    <w:p>
      <w:pPr>
        <w:spacing w:after="0" w:line="179" w:lineRule="exact"/>
        <w:rPr>
          <w:sz w:val="20"/>
          <w:szCs w:val="20"/>
          <w:color w:val="auto"/>
        </w:rPr>
      </w:pPr>
    </w:p>
    <w:p>
      <w:pPr>
        <w:jc w:val="both"/>
        <w:ind w:firstLine="551"/>
        <w:spacing w:after="0" w:line="250" w:lineRule="auto"/>
        <w:rPr>
          <w:sz w:val="20"/>
          <w:szCs w:val="20"/>
          <w:color w:val="auto"/>
        </w:rPr>
      </w:pP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i w:val="1"/>
          <w:iCs w:val="1"/>
          <w:color w:val="auto"/>
        </w:rPr>
        <w:t>. Counterparts.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may be signed in any number of counterparts, each of which shall be an original,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same effect as if the signatures thereto and hereto were upon the same instrument. Delivery of an executed counterpart of a signature page to this Amendment by facsimile or electronic (i.e., “pdf” or “tif”) transmission shall be effective as delivery of a manually executed counterpart of this Amendment.</w:t>
      </w:r>
    </w:p>
    <w:p>
      <w:pPr>
        <w:spacing w:after="0" w:line="176" w:lineRule="exact"/>
        <w:rPr>
          <w:sz w:val="20"/>
          <w:szCs w:val="20"/>
          <w:color w:val="auto"/>
        </w:rPr>
      </w:pPr>
    </w:p>
    <w:p>
      <w:pPr>
        <w:jc w:val="both"/>
        <w:ind w:right="20" w:firstLine="551"/>
        <w:spacing w:after="0" w:line="273" w:lineRule="auto"/>
        <w:rPr>
          <w:sz w:val="20"/>
          <w:szCs w:val="20"/>
          <w:color w:val="auto"/>
        </w:rPr>
      </w:pP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i w:val="1"/>
          <w:iCs w:val="1"/>
          <w:color w:val="auto"/>
        </w:rPr>
        <w:t>. Miscellaneous.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Amendment shall constitute a “Loan Document” for all purposes of the Amended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other Loan Documents.</w:t>
      </w:r>
    </w:p>
    <w:p>
      <w:pPr>
        <w:spacing w:after="0" w:line="152" w:lineRule="exact"/>
        <w:rPr>
          <w:sz w:val="20"/>
          <w:szCs w:val="20"/>
          <w:color w:val="auto"/>
        </w:rPr>
      </w:pPr>
    </w:p>
    <w:p>
      <w:pPr>
        <w:jc w:val="both"/>
        <w:ind w:firstLine="551"/>
        <w:spacing w:after="0" w:line="243" w:lineRule="auto"/>
        <w:rPr>
          <w:sz w:val="20"/>
          <w:szCs w:val="20"/>
          <w:color w:val="auto"/>
        </w:rPr>
      </w:pPr>
      <w:r>
        <w:rPr>
          <w:rFonts w:ascii="Times New Roman" w:cs="Times New Roman" w:eastAsia="Times New Roman" w:hAnsi="Times New Roman"/>
          <w:sz w:val="20"/>
          <w:szCs w:val="20"/>
          <w:b w:val="1"/>
          <w:bCs w:val="1"/>
          <w:color w:val="auto"/>
        </w:rPr>
        <w:t>SECTION 10</w:t>
      </w:r>
      <w:r>
        <w:rPr>
          <w:rFonts w:ascii="Times New Roman" w:cs="Times New Roman" w:eastAsia="Times New Roman" w:hAnsi="Times New Roman"/>
          <w:sz w:val="20"/>
          <w:szCs w:val="20"/>
          <w:i w:val="1"/>
          <w:iCs w:val="1"/>
          <w:color w:val="auto"/>
        </w:rPr>
        <w:t>. Pre-Amendment Loans.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herein, the parties hereto hereby agree that (a) to the extent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 in Dollars bearing interest at the Eurocurrency Rate is outstanding on the Amendment No. 2 Effective Date (such Loans, the “</w:t>
      </w:r>
      <w:r>
        <w:rPr>
          <w:rFonts w:ascii="Times New Roman" w:cs="Times New Roman" w:eastAsia="Times New Roman" w:hAnsi="Times New Roman"/>
          <w:sz w:val="20"/>
          <w:szCs w:val="20"/>
          <w:u w:val="single" w:color="auto"/>
          <w:color w:val="auto"/>
        </w:rPr>
        <w:t>Pre-Amendment Loans</w:t>
      </w:r>
      <w:r>
        <w:rPr>
          <w:rFonts w:ascii="Times New Roman" w:cs="Times New Roman" w:eastAsia="Times New Roman" w:hAnsi="Times New Roman"/>
          <w:sz w:val="20"/>
          <w:szCs w:val="20"/>
          <w:color w:val="auto"/>
        </w:rPr>
        <w:t>”), such Loan shall continue to bear interest at the Eurocurrency Rate until the end of the current Interest Period or payment period applicable to such Loan, it being understood that such Pre-Amendment Loans shall remain subject to the terms of the Existing Credit Agreement (without giving effect to the amendments set forth in Section 2 of this Amendment) until the end of the applicable Interest Period, (b) in no event shall the Borrower be entitled to request any Loans that are Eurocurrency Loans after the Amendment No. 2 Effective Date (or submit a notice of conversion or continuation with respect to continuing any such Loans or requesting conversion of a Loan into a Eurocurrency Loan) and (c) at the end of the current Interest Period or payment period, as applicable, each Pre-Amendment Loan shall, unless otherwise instructed by the Borrower, be automatically converted to a Term SOFR Loan bearing interest at Term SOFR with the same Interest Period as such Pre-Amendment Loan.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20"/>
          </w:cols>
          <w:pgMar w:left="440" w:top="26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as of the date first above written.</w:t>
      </w:r>
    </w:p>
    <w:p>
      <w:pPr>
        <w:spacing w:after="0" w:line="25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TRADEWEB MARKETS LLC</w:t>
      </w:r>
    </w:p>
    <w:p>
      <w:pPr>
        <w:spacing w:after="0" w:line="200" w:lineRule="exact"/>
        <w:rPr>
          <w:sz w:val="20"/>
          <w:szCs w:val="20"/>
          <w:color w:val="auto"/>
        </w:rPr>
      </w:pPr>
    </w:p>
    <w:p>
      <w:pPr>
        <w:spacing w:after="0" w:line="23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By: /s/ Doug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4051935</wp:posOffset>
            </wp:positionH>
            <wp:positionV relativeFrom="paragraph">
              <wp:posOffset>13970</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Name: Doug Friedman</w:t>
      </w:r>
    </w:p>
    <w:p>
      <w:pPr>
        <w:spacing w:after="0" w:line="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Title: General Counsel</w:t>
      </w:r>
    </w:p>
    <w:p>
      <w:pPr>
        <w:spacing w:after="0" w:line="19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 Amendment No. 2</w:t>
      </w:r>
      <w:r>
        <w:rPr>
          <w:rFonts w:ascii="Times New Roman" w:cs="Times New Roman" w:eastAsia="Times New Roman" w:hAnsi="Times New Roman"/>
          <w:sz w:val="20"/>
          <w:szCs w:val="20"/>
          <w:color w:val="auto"/>
        </w:rPr>
        <w:t>]</w:t>
      </w:r>
    </w:p>
    <w:p>
      <w:pPr>
        <w:sectPr>
          <w:pgSz w:w="11900" w:h="16838" w:orient="portrait"/>
          <w:cols w:equalWidth="0" w:num="1">
            <w:col w:w="10180"/>
          </w:cols>
          <w:pgMar w:left="980" w:top="265" w:right="7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 as Administrative Agent</w:t>
      </w:r>
    </w:p>
    <w:p>
      <w:pPr>
        <w:spacing w:after="0" w:line="200" w:lineRule="exact"/>
        <w:rPr>
          <w:sz w:val="20"/>
          <w:szCs w:val="20"/>
          <w:color w:val="auto"/>
        </w:rPr>
      </w:pP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Ciaran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13970</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Name: Ciaran Small</w:t>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1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 Amendment No. 2</w:t>
      </w:r>
      <w:r>
        <w:rPr>
          <w:rFonts w:ascii="Times New Roman" w:cs="Times New Roman" w:eastAsia="Times New Roman" w:hAnsi="Times New Roman"/>
          <w:sz w:val="19"/>
          <w:szCs w:val="19"/>
          <w:color w:val="auto"/>
        </w:rPr>
        <w:t>]</w:t>
      </w:r>
    </w:p>
    <w:p>
      <w:pPr>
        <w:sectPr>
          <w:pgSz w:w="11900" w:h="16838" w:orient="portrait"/>
          <w:cols w:equalWidth="0" w:num="1">
            <w:col w:w="9080"/>
          </w:cols>
          <w:pgMar w:left="1440" w:top="265" w:right="1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CONFORMED CONVENIENCE COPY REFLECTING AMENDMENT NO. 1</w:t>
      </w:r>
      <w:r>
        <w:rPr>
          <w:rFonts w:ascii="Times New Roman" w:cs="Times New Roman" w:eastAsia="Times New Roman" w:hAnsi="Times New Roman"/>
          <w:sz w:val="20"/>
          <w:szCs w:val="20"/>
          <w:b w:val="1"/>
          <w:bCs w:val="1"/>
          <w:u w:val="single" w:color="auto"/>
          <w:color w:val="0000FF"/>
          <w:strike w:val="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805180</wp:posOffset>
            </wp:positionV>
            <wp:extent cx="6995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848360</wp:posOffset>
            </wp:positionV>
            <wp:extent cx="6995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 xml:space="preserve">dated as of April 8, </w:t>
      </w:r>
      <w:r>
        <w:rPr>
          <w:rFonts w:ascii="Times New Roman" w:cs="Times New Roman" w:eastAsia="Times New Roman" w:hAnsi="Times New Roman"/>
          <w:sz w:val="20"/>
          <w:szCs w:val="20"/>
          <w:color w:val="FF0000"/>
          <w:strike w:val="1"/>
        </w:rPr>
        <w:t>2019</w:t>
      </w:r>
      <w:r>
        <w:rPr>
          <w:rFonts w:ascii="Times New Roman" w:cs="Times New Roman" w:eastAsia="Times New Roman" w:hAnsi="Times New Roman"/>
          <w:sz w:val="20"/>
          <w:szCs w:val="20"/>
          <w:u w:val="single" w:color="auto"/>
          <w:color w:val="0000FF"/>
        </w:rPr>
        <w:t>2019,</w:t>
      </w:r>
    </w:p>
    <w:p>
      <w:pPr>
        <w:jc w:val="center"/>
        <w:ind w:right="-3"/>
        <w:spacing w:after="0"/>
        <w:rPr>
          <w:sz w:val="20"/>
          <w:szCs w:val="20"/>
          <w:color w:val="auto"/>
        </w:rPr>
      </w:pPr>
      <w:r>
        <w:rPr>
          <w:rFonts w:ascii="Times New Roman" w:cs="Times New Roman" w:eastAsia="Times New Roman" w:hAnsi="Times New Roman"/>
          <w:sz w:val="20"/>
          <w:szCs w:val="20"/>
          <w:u w:val="single" w:color="auto"/>
          <w:color w:val="0000FF"/>
        </w:rPr>
        <w:t>as amended by Amendment No. 1, dated as of November 7, 2019, and</w:t>
      </w:r>
    </w:p>
    <w:p>
      <w:pPr>
        <w:jc w:val="center"/>
        <w:ind w:right="-3"/>
        <w:spacing w:after="0"/>
        <w:rPr>
          <w:sz w:val="20"/>
          <w:szCs w:val="20"/>
          <w:color w:val="auto"/>
        </w:rPr>
      </w:pPr>
      <w:r>
        <w:rPr>
          <w:rFonts w:ascii="Times New Roman" w:cs="Times New Roman" w:eastAsia="Times New Roman" w:hAnsi="Times New Roman"/>
          <w:sz w:val="20"/>
          <w:szCs w:val="20"/>
          <w:u w:val="single" w:color="auto"/>
          <w:color w:val="0000FF"/>
        </w:rPr>
        <w:t>as amended by Amendment No. 2, dated March 31, 2023</w:t>
      </w:r>
    </w:p>
    <w:p>
      <w:pPr>
        <w:spacing w:after="0" w:line="1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among</w:t>
      </w:r>
    </w:p>
    <w:p>
      <w:pPr>
        <w:spacing w:after="0" w:line="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TRADEWEB MARKETS LLC,</w:t>
      </w:r>
    </w:p>
    <w:p>
      <w:pPr>
        <w:jc w:val="center"/>
        <w:ind w:right="-3"/>
        <w:spacing w:after="0"/>
        <w:rPr>
          <w:sz w:val="20"/>
          <w:szCs w:val="20"/>
          <w:color w:val="auto"/>
        </w:rPr>
      </w:pPr>
      <w:r>
        <w:rPr>
          <w:rFonts w:ascii="Times New Roman" w:cs="Times New Roman" w:eastAsia="Times New Roman" w:hAnsi="Times New Roman"/>
          <w:sz w:val="20"/>
          <w:szCs w:val="20"/>
          <w:color w:val="auto"/>
        </w:rPr>
        <w:t>as Borrower,</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and</w:t>
      </w:r>
    </w:p>
    <w:p>
      <w:pPr>
        <w:spacing w:after="0" w:line="2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CITIBANK, N.A.,</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as Administrative Agent, Collateral Agent, Issuing Bank and Swing Line Lender</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CITIGROUP GLOBAL MARKETS INC.,</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MORGAN STANLEY SENIOR FUNDING, INC.,</w:t>
      </w:r>
    </w:p>
    <w:p>
      <w:pPr>
        <w:jc w:val="center"/>
        <w:ind w:right="-3"/>
        <w:spacing w:after="0"/>
        <w:rPr>
          <w:sz w:val="20"/>
          <w:szCs w:val="20"/>
          <w:color w:val="auto"/>
        </w:rPr>
      </w:pPr>
      <w:r>
        <w:rPr>
          <w:rFonts w:ascii="Times New Roman" w:cs="Times New Roman" w:eastAsia="Times New Roman" w:hAnsi="Times New Roman"/>
          <w:sz w:val="20"/>
          <w:szCs w:val="20"/>
          <w:color w:val="auto"/>
        </w:rPr>
        <w:t>and</w:t>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GOLDMAN SACHS BANK USA,</w:t>
      </w:r>
    </w:p>
    <w:p>
      <w:pPr>
        <w:jc w:val="center"/>
        <w:ind w:right="-3"/>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MORGAN STANLEY SENIOR FUNDING, INC.,</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and</w:t>
      </w:r>
    </w:p>
    <w:p>
      <w:pPr>
        <w:jc w:val="center"/>
        <w:ind w:right="-3"/>
        <w:spacing w:after="0"/>
        <w:rPr>
          <w:sz w:val="20"/>
          <w:szCs w:val="20"/>
          <w:color w:val="auto"/>
        </w:rPr>
      </w:pPr>
      <w:r>
        <w:rPr>
          <w:rFonts w:ascii="Times New Roman" w:cs="Times New Roman" w:eastAsia="Times New Roman" w:hAnsi="Times New Roman"/>
          <w:sz w:val="20"/>
          <w:szCs w:val="20"/>
          <w:b w:val="1"/>
          <w:bCs w:val="1"/>
          <w:color w:val="auto"/>
        </w:rPr>
        <w:t>GOLDMAN SACHS BANK USA</w:t>
      </w:r>
    </w:p>
    <w:p>
      <w:pPr>
        <w:jc w:val="center"/>
        <w:ind w:right="-3"/>
        <w:spacing w:after="0"/>
        <w:rPr>
          <w:sz w:val="20"/>
          <w:szCs w:val="20"/>
          <w:color w:val="auto"/>
        </w:rPr>
      </w:pPr>
      <w:r>
        <w:rPr>
          <w:rFonts w:ascii="Times New Roman" w:cs="Times New Roman" w:eastAsia="Times New Roman" w:hAnsi="Times New Roman"/>
          <w:sz w:val="20"/>
          <w:szCs w:val="20"/>
          <w:color w:val="auto"/>
        </w:rPr>
        <w:t>as Documentation Agents</w:t>
      </w:r>
    </w:p>
    <w:p>
      <w:pPr>
        <w:spacing w:after="0" w:line="1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b w:val="1"/>
          <w:bCs w:val="1"/>
          <w:color w:val="FF0000"/>
          <w:strike w:val="1"/>
        </w:rPr>
        <w:t>[Conformed Convenience Copy reflecting Amendment No.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231140</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1130935</wp:posOffset>
            </wp:positionV>
            <wp:extent cx="18173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4" w:right="100" w:hanging="224"/>
        <w:spacing w:after="0" w:line="264" w:lineRule="auto"/>
        <w:tabs>
          <w:tab w:leader="none" w:pos="224" w:val="left"/>
        </w:tabs>
        <w:numPr>
          <w:ilvl w:val="0"/>
          <w:numId w:val="6"/>
        </w:numPr>
        <w:rPr>
          <w:rFonts w:ascii="Times New Roman" w:cs="Times New Roman" w:eastAsia="Times New Roman" w:hAnsi="Times New Roman"/>
          <w:sz w:val="14"/>
          <w:szCs w:val="14"/>
          <w:b w:val="1"/>
          <w:bCs w:val="1"/>
          <w:color w:val="FF0000"/>
          <w:strike w:val="1"/>
        </w:rPr>
      </w:pPr>
      <w:r>
        <w:rPr>
          <w:rFonts w:ascii="Times New Roman" w:cs="Times New Roman" w:eastAsia="Times New Roman" w:hAnsi="Times New Roman"/>
          <w:sz w:val="14"/>
          <w:szCs w:val="14"/>
          <w:b w:val="1"/>
          <w:bCs w:val="1"/>
          <w:color w:val="FF0000"/>
          <w:strike w:val="1"/>
        </w:rPr>
        <w:t>This is a conformed copy reflecting Amendment No. 1, dated November 7, 2019. This is for convenience use only, and reference should be made to the actual amendment as the governing instrument.</w:t>
      </w:r>
    </w:p>
    <w:p>
      <w:pPr>
        <w:sectPr>
          <w:pgSz w:w="11900" w:h="16838" w:orient="portrait"/>
          <w:cols w:equalWidth="0" w:num="1">
            <w:col w:w="11024"/>
          </w:cols>
          <w:pgMar w:left="436" w:top="261"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3"/>
        </w:trPr>
        <w:tc>
          <w:tcPr>
            <w:tcW w:w="19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TABLE OF CONTENTS</w:t>
            </w:r>
          </w:p>
        </w:tc>
        <w:tc>
          <w:tcPr>
            <w:tcW w:w="3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105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 DEFINITIONS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1</w:t>
            </w:r>
          </w:p>
        </w:tc>
        <w:tc>
          <w:tcPr>
            <w:tcW w:w="0" w:type="dxa"/>
            <w:vAlign w:val="bottom"/>
          </w:tcPr>
          <w:p>
            <w:pPr>
              <w:spacing w:after="0"/>
              <w:rPr>
                <w:sz w:val="1"/>
                <w:szCs w:val="1"/>
                <w:color w:val="auto"/>
              </w:rPr>
            </w:pPr>
          </w:p>
        </w:tc>
      </w:tr>
      <w:tr>
        <w:trPr>
          <w:trHeight w:val="239"/>
        </w:trPr>
        <w:tc>
          <w:tcPr>
            <w:tcW w:w="190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auto"/>
              </w:rPr>
              <w:t>Section 1.01</w:t>
            </w:r>
          </w:p>
        </w:tc>
        <w:tc>
          <w:tcPr>
            <w:tcW w:w="8620" w:type="dxa"/>
            <w:vAlign w:val="bottom"/>
            <w:gridSpan w:val="3"/>
          </w:tcPr>
          <w:p>
            <w:pPr>
              <w:ind w:left="400"/>
              <w:spacing w:after="0" w:line="239" w:lineRule="exact"/>
              <w:rPr>
                <w:sz w:val="20"/>
                <w:szCs w:val="20"/>
                <w:color w:val="auto"/>
              </w:rPr>
            </w:pPr>
            <w:r>
              <w:rPr>
                <w:rFonts w:ascii="Times New Roman" w:cs="Times New Roman" w:eastAsia="Times New Roman" w:hAnsi="Times New Roman"/>
                <w:sz w:val="22"/>
                <w:szCs w:val="22"/>
                <w:color w:val="auto"/>
              </w:rPr>
              <w:t>Defined Terms</w:t>
            </w:r>
          </w:p>
        </w:tc>
        <w:tc>
          <w:tcPr>
            <w:tcW w:w="460" w:type="dxa"/>
            <w:vAlign w:val="bottom"/>
            <w:gridSpan w:val="3"/>
          </w:tcPr>
          <w:p>
            <w:pPr>
              <w:jc w:val="right"/>
              <w:ind w:right="20"/>
              <w:spacing w:after="0" w:line="239" w:lineRule="exact"/>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34"/>
        </w:trPr>
        <w:tc>
          <w:tcPr>
            <w:tcW w:w="1900" w:type="dxa"/>
            <w:vAlign w:val="bottom"/>
          </w:tcPr>
          <w:p>
            <w:pPr>
              <w:ind w:left="420"/>
              <w:spacing w:after="0" w:line="233" w:lineRule="exact"/>
              <w:rPr>
                <w:sz w:val="20"/>
                <w:szCs w:val="20"/>
                <w:color w:val="auto"/>
              </w:rPr>
            </w:pPr>
            <w:r>
              <w:rPr>
                <w:rFonts w:ascii="Times New Roman" w:cs="Times New Roman" w:eastAsia="Times New Roman" w:hAnsi="Times New Roman"/>
                <w:sz w:val="22"/>
                <w:szCs w:val="22"/>
                <w:color w:val="auto"/>
              </w:rPr>
              <w:t>Section 1.02</w:t>
            </w:r>
          </w:p>
        </w:tc>
        <w:tc>
          <w:tcPr>
            <w:tcW w:w="8620" w:type="dxa"/>
            <w:vAlign w:val="bottom"/>
            <w:gridSpan w:val="3"/>
          </w:tcPr>
          <w:p>
            <w:pPr>
              <w:ind w:left="400"/>
              <w:spacing w:after="0" w:line="233" w:lineRule="exact"/>
              <w:rPr>
                <w:sz w:val="20"/>
                <w:szCs w:val="20"/>
                <w:color w:val="auto"/>
              </w:rPr>
            </w:pPr>
            <w:r>
              <w:rPr>
                <w:rFonts w:ascii="Times New Roman" w:cs="Times New Roman" w:eastAsia="Times New Roman" w:hAnsi="Times New Roman"/>
                <w:sz w:val="22"/>
                <w:szCs w:val="22"/>
                <w:color w:val="auto"/>
              </w:rPr>
              <w:t>[Reserved]</w:t>
            </w: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FF0000"/>
                <w:strike w:val="1"/>
                <w:w w:val="90"/>
              </w:rPr>
              <w:t>45</w:t>
            </w:r>
          </w:p>
        </w:tc>
        <w:tc>
          <w:tcPr>
            <w:tcW w:w="240" w:type="dxa"/>
            <w:vAlign w:val="bottom"/>
            <w:gridSpan w:val="2"/>
          </w:tcPr>
          <w:p>
            <w:pPr>
              <w:jc w:val="right"/>
              <w:ind w:right="20"/>
              <w:spacing w:after="0" w:line="233" w:lineRule="exact"/>
              <w:rPr>
                <w:sz w:val="20"/>
                <w:szCs w:val="20"/>
                <w:color w:val="auto"/>
              </w:rPr>
            </w:pPr>
            <w:r>
              <w:rPr>
                <w:rFonts w:ascii="Times New Roman" w:cs="Times New Roman" w:eastAsia="Times New Roman" w:hAnsi="Times New Roman"/>
                <w:sz w:val="22"/>
                <w:szCs w:val="22"/>
                <w:color w:val="0000FF"/>
                <w:w w:val="90"/>
              </w:rPr>
              <w:t>49</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1.03</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Terms Generally; Times of Day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45</w:t>
            </w: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1.04</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Accounting Terms; GAAP</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1.05</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Pro Forma Calculations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1.06</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Letter of Credit Amounts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1.07</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Exchange Rates; Currency Equivalents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47</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1.08</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Additional Alternative Currencies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47</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1.09</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Change of Currency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48</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1.10</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Limited Condition Transactions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49</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5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II. THE CREDITS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0"/>
              </w:rPr>
              <w:t>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0000FF"/>
                <w:w w:val="90"/>
              </w:rPr>
              <w:t>55</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2.01</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Commitments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50</w:t>
            </w: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2.02</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Funding of Loans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50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2.03</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Requests for Borrowings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50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2.04</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Swing Line Loans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53</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2.05</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Letters of Credit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56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2.06</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Termination and Reduction of Commitments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63</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2.07</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Repayment of Loans; Evidence of Debt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64</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2.08</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[Reserved]</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65</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2.09</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Prepayment of Loans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65</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2.10</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Fees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65</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2.11</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Interest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2.12</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Alternate Rate of Interest</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67</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2.13</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Increased Costs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68</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2.14</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Break Funding Payments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69</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2.15</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Taxes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2.16</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Payments Generally; Pro Rata Treatment; Sharing of Setoffs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74</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2.17</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2.18</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Incremental Revolving Commitments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76</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2.19</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Extension Option</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77</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5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Article III. REPRESENTATIONS AND WARRANTIES</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0"/>
              </w:rPr>
              <w:t>78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0000FF"/>
                <w:w w:val="90"/>
              </w:rPr>
              <w:t>83</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3.01</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Organization; Powers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78</w:t>
            </w: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3.02</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Authorization; Enforceability</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78</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3.03</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Governmental Approvals; No Conflicts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79</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3.04</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Financial Condition; No Material Adverse Change</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79</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3.05</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Properties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79</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3.06</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Litigation and Environmental Matters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79</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3.07</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Compliance with Laws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80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3.08</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Investment Company Status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80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3.09</w:t>
            </w:r>
          </w:p>
        </w:tc>
        <w:tc>
          <w:tcPr>
            <w:tcW w:w="8620" w:type="dxa"/>
            <w:vAlign w:val="bottom"/>
            <w:gridSpan w:val="3"/>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Taxes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80</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620" w:type="dxa"/>
            <w:vAlign w:val="bottom"/>
            <w:gridSpan w:val="3"/>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38"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47"/>
        </w:trPr>
        <w:tc>
          <w:tcPr>
            <w:tcW w:w="190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Section 3.10</w:t>
            </w:r>
          </w:p>
        </w:tc>
        <w:tc>
          <w:tcPr>
            <w:tcW w:w="840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ERISA</w:t>
            </w:r>
          </w:p>
        </w:tc>
        <w:tc>
          <w:tcPr>
            <w:tcW w:w="100" w:type="dxa"/>
            <w:vAlign w:val="bottom"/>
            <w:vMerge w:val="restart"/>
          </w:tcPr>
          <w:p>
            <w:pPr>
              <w:spacing w:after="0"/>
              <w:rPr>
                <w:sz w:val="4"/>
                <w:szCs w:val="4"/>
                <w:color w:val="auto"/>
              </w:rPr>
            </w:pPr>
          </w:p>
        </w:tc>
        <w:tc>
          <w:tcPr>
            <w:tcW w:w="320" w:type="dxa"/>
            <w:vAlign w:val="bottom"/>
            <w:gridSpan w:val="4"/>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rPr>
              <w:t>80</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85</w:t>
            </w:r>
          </w:p>
        </w:tc>
        <w:tc>
          <w:tcPr>
            <w:tcW w:w="0" w:type="dxa"/>
            <w:vAlign w:val="bottom"/>
          </w:tcPr>
          <w:p>
            <w:pPr>
              <w:spacing w:after="0"/>
              <w:rPr>
                <w:sz w:val="1"/>
                <w:szCs w:val="1"/>
                <w:color w:val="auto"/>
              </w:rPr>
            </w:pPr>
          </w:p>
        </w:tc>
      </w:tr>
      <w:tr>
        <w:trPr>
          <w:trHeight w:val="211"/>
        </w:trPr>
        <w:tc>
          <w:tcPr>
            <w:tcW w:w="1900" w:type="dxa"/>
            <w:vAlign w:val="bottom"/>
            <w:vMerge w:val="continue"/>
          </w:tcPr>
          <w:p>
            <w:pPr>
              <w:spacing w:after="0"/>
              <w:rPr>
                <w:sz w:val="17"/>
                <w:szCs w:val="17"/>
                <w:color w:val="auto"/>
              </w:rPr>
            </w:pPr>
          </w:p>
        </w:tc>
        <w:tc>
          <w:tcPr>
            <w:tcW w:w="84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gridSpan w:val="4"/>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Disclosure</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80</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85</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Insurance</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3.13</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Federal Reserve Regulations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3.14</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OFAC</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3.15</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Anti-Corruption Laws and Patriot Act</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3.16</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Security Documents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3.17</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Solvency</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82</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87</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IV. CONDITIONS</w:t>
            </w:r>
          </w:p>
        </w:tc>
        <w:tc>
          <w:tcPr>
            <w:tcW w:w="10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rPr>
              <w:t>82</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88</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4.01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Conditions to the Closing Date</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82</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88</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4.02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Each Credit Event</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84</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90</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 AFFIRMATIVE COVENANTS</w:t>
            </w:r>
          </w:p>
        </w:tc>
        <w:tc>
          <w:tcPr>
            <w:tcW w:w="10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rPr>
              <w:t>85</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90</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Financial Statements and Other Information</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85</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90</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Notices of Material Events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87</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92</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5.03</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Existence; Conduct of Business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88</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93</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5.04</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Payment of Taxes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88</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93</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5.05</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Maintenance of Properties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88</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93</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5.06</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Insurance</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88</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93</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5.07</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Books and Records; Inspection and Audit Rights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88</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94</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5.08</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Compliance with Laws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89</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94</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5.09</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Use of Proceeds and Letters of Credit</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89</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94</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5.10</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Additional Collateral; Additional Guarantors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89</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95</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5.11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Further Assurances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90</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5.12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Designation of Subsidiaries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91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96</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 NEGATIVE COVENANTS</w:t>
            </w:r>
          </w:p>
        </w:tc>
        <w:tc>
          <w:tcPr>
            <w:tcW w:w="10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rPr>
              <w:t>91</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96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Indebtedness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91</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Liens</w:t>
            </w:r>
          </w:p>
        </w:tc>
        <w:tc>
          <w:tcPr>
            <w:tcW w:w="100" w:type="dxa"/>
            <w:vAlign w:val="bottom"/>
            <w:vMerge w:val="restart"/>
          </w:tcPr>
          <w:p>
            <w:pPr>
              <w:spacing w:after="0"/>
              <w:rPr>
                <w:sz w:val="2"/>
                <w:szCs w:val="2"/>
                <w:color w:val="auto"/>
              </w:rPr>
            </w:pPr>
          </w:p>
        </w:tc>
        <w:tc>
          <w:tcPr>
            <w:tcW w:w="320" w:type="dxa"/>
            <w:vAlign w:val="bottom"/>
            <w:gridSpan w:val="4"/>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rPr>
              <w:t>93</w:t>
            </w: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gridSpan w:val="4"/>
            <w:vMerge w:val="continue"/>
          </w:tcPr>
          <w:p>
            <w:pPr>
              <w:spacing w:after="0"/>
              <w:rPr>
                <w:sz w:val="14"/>
                <w:szCs w:val="14"/>
                <w:color w:val="auto"/>
              </w:rPr>
            </w:pPr>
          </w:p>
        </w:tc>
        <w:tc>
          <w:tcPr>
            <w:tcW w:w="220" w:type="dxa"/>
            <w:vAlign w:val="bottom"/>
            <w:tcBorders>
              <w:bottom w:val="single" w:sz="8" w:color="0000FF"/>
            </w:tcBorders>
          </w:tcPr>
          <w:p>
            <w:pPr>
              <w:jc w:val="right"/>
              <w:spacing w:after="0" w:line="169" w:lineRule="exact"/>
              <w:rPr>
                <w:sz w:val="20"/>
                <w:szCs w:val="20"/>
                <w:color w:val="auto"/>
              </w:rPr>
            </w:pPr>
            <w:r>
              <w:rPr>
                <w:rFonts w:ascii="Times New Roman" w:cs="Times New Roman" w:eastAsia="Times New Roman" w:hAnsi="Times New Roman"/>
                <w:sz w:val="19"/>
                <w:szCs w:val="19"/>
                <w:color w:val="0000FF"/>
              </w:rPr>
              <w:t>99</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6.03</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Fundamental Changes</w:t>
            </w:r>
          </w:p>
        </w:tc>
        <w:tc>
          <w:tcPr>
            <w:tcW w:w="100" w:type="dxa"/>
            <w:vAlign w:val="bottom"/>
          </w:tcPr>
          <w:p>
            <w:pPr>
              <w:spacing w:after="0"/>
              <w:rPr>
                <w:sz w:val="2"/>
                <w:szCs w:val="2"/>
                <w:color w:val="auto"/>
              </w:rPr>
            </w:pP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96</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101</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6.04</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Investments</w:t>
            </w:r>
          </w:p>
        </w:tc>
        <w:tc>
          <w:tcPr>
            <w:tcW w:w="100" w:type="dxa"/>
            <w:vAlign w:val="bottom"/>
            <w:vMerge w:val="restart"/>
          </w:tcPr>
          <w:p>
            <w:pPr>
              <w:spacing w:after="0"/>
              <w:rPr>
                <w:sz w:val="2"/>
                <w:szCs w:val="2"/>
                <w:color w:val="auto"/>
              </w:rPr>
            </w:pP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96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102</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6.05</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Restricted Payments</w:t>
            </w:r>
          </w:p>
        </w:tc>
        <w:tc>
          <w:tcPr>
            <w:tcW w:w="100" w:type="dxa"/>
            <w:vAlign w:val="bottom"/>
            <w:vMerge w:val="restart"/>
          </w:tcPr>
          <w:p>
            <w:pPr>
              <w:spacing w:after="0"/>
              <w:rPr>
                <w:sz w:val="2"/>
                <w:szCs w:val="2"/>
                <w:color w:val="auto"/>
              </w:rPr>
            </w:pP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98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104</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6.06</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100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6.07</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Interest Coverage Ratio</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107</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6.08</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Leverage Ratio</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107</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 EVENTS OF DEFAULT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0"/>
              </w:rPr>
              <w:t>101</w:t>
            </w:r>
          </w:p>
        </w:tc>
        <w:tc>
          <w:tcPr>
            <w:tcW w:w="3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107</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7.01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Event of Default</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101</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107</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7.02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Right to Cure</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20" w:type="dxa"/>
            <w:vAlign w:val="bottom"/>
            <w:tcBorders>
              <w:bottom w:val="single" w:sz="8" w:color="0000FF"/>
            </w:tcBorders>
            <w:gridSpan w:val="4"/>
          </w:tcPr>
          <w:p>
            <w:pPr>
              <w:jc w:val="right"/>
              <w:spacing w:after="0" w:line="169" w:lineRule="exact"/>
              <w:rPr>
                <w:sz w:val="20"/>
                <w:szCs w:val="20"/>
                <w:color w:val="auto"/>
              </w:rPr>
            </w:pPr>
            <w:r>
              <w:rPr>
                <w:rFonts w:ascii="Times New Roman" w:cs="Times New Roman" w:eastAsia="Times New Roman" w:hAnsi="Times New Roman"/>
                <w:sz w:val="19"/>
                <w:szCs w:val="19"/>
                <w:color w:val="0000FF"/>
              </w:rPr>
              <w:t>109</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7.03</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Application of Funds</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105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0000FF"/>
            </w:tcBorders>
            <w:gridSpan w:val="3"/>
          </w:tcPr>
          <w:p>
            <w:pPr>
              <w:jc w:val="right"/>
              <w:spacing w:after="0" w:line="169" w:lineRule="exact"/>
              <w:rPr>
                <w:sz w:val="20"/>
                <w:szCs w:val="20"/>
                <w:color w:val="auto"/>
              </w:rPr>
            </w:pPr>
            <w:r>
              <w:rPr>
                <w:rFonts w:ascii="Times New Roman" w:cs="Times New Roman" w:eastAsia="Times New Roman" w:hAnsi="Times New Roman"/>
                <w:sz w:val="19"/>
                <w:szCs w:val="19"/>
                <w:color w:val="0000FF"/>
                <w:w w:val="98"/>
              </w:rPr>
              <w:t>110</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VIII. REGARDING THE ADMINISTRATIVE AGENT</w:t>
            </w: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6"/>
              </w:rPr>
              <w:t>106</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0000FF"/>
                <w:w w:val="78"/>
              </w:rPr>
              <w:t>111</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03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IX. MISCELLANEOUS</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0"/>
              </w:rPr>
              <w:t>111</w:t>
            </w:r>
          </w:p>
        </w:tc>
        <w:tc>
          <w:tcPr>
            <w:tcW w:w="30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22"/>
                <w:szCs w:val="22"/>
                <w:color w:val="0000FF"/>
                <w:w w:val="84"/>
              </w:rPr>
              <w:t>116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9.01</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Notices</w:t>
            </w:r>
          </w:p>
        </w:tc>
        <w:tc>
          <w:tcPr>
            <w:tcW w:w="34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111</w:t>
            </w: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8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91"/>
              </w:rPr>
              <w:t>116</w:t>
            </w:r>
          </w:p>
        </w:tc>
        <w:tc>
          <w:tcPr>
            <w:tcW w:w="0" w:type="dxa"/>
            <w:vAlign w:val="bottom"/>
          </w:tcPr>
          <w:p>
            <w:pPr>
              <w:spacing w:after="0"/>
              <w:rPr>
                <w:sz w:val="1"/>
                <w:szCs w:val="1"/>
                <w:color w:val="auto"/>
              </w:rPr>
            </w:pPr>
          </w:p>
        </w:tc>
      </w:tr>
      <w:tr>
        <w:trPr>
          <w:trHeight w:val="34"/>
        </w:trPr>
        <w:tc>
          <w:tcPr>
            <w:tcW w:w="190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9.02</w:t>
            </w:r>
          </w:p>
        </w:tc>
        <w:tc>
          <w:tcPr>
            <w:tcW w:w="8400" w:type="dxa"/>
            <w:vAlign w:val="bottom"/>
            <w:vMerge w:val="restart"/>
          </w:tcPr>
          <w:p>
            <w:pPr>
              <w:ind w:left="400"/>
              <w:spacing w:after="0" w:line="223" w:lineRule="exact"/>
              <w:rPr>
                <w:sz w:val="20"/>
                <w:szCs w:val="20"/>
                <w:color w:val="auto"/>
              </w:rPr>
            </w:pPr>
            <w:r>
              <w:rPr>
                <w:rFonts w:ascii="Times New Roman" w:cs="Times New Roman" w:eastAsia="Times New Roman" w:hAnsi="Times New Roman"/>
                <w:sz w:val="22"/>
                <w:szCs w:val="22"/>
                <w:color w:val="auto"/>
              </w:rPr>
              <w:t>Waivers; Amendments</w:t>
            </w:r>
          </w:p>
        </w:tc>
        <w:tc>
          <w:tcPr>
            <w:tcW w:w="34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112</w:t>
            </w: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00" w:type="dxa"/>
            <w:vAlign w:val="bottom"/>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8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w w:val="91"/>
              </w:rPr>
              <w:t>117</w:t>
            </w:r>
          </w:p>
        </w:tc>
        <w:tc>
          <w:tcPr>
            <w:tcW w:w="0" w:type="dxa"/>
            <w:vAlign w:val="bottom"/>
          </w:tcPr>
          <w:p>
            <w:pPr>
              <w:spacing w:after="0"/>
              <w:rPr>
                <w:sz w:val="1"/>
                <w:szCs w:val="1"/>
                <w:color w:val="auto"/>
              </w:rPr>
            </w:pPr>
          </w:p>
        </w:tc>
      </w:tr>
      <w:tr>
        <w:trPr>
          <w:trHeight w:val="34"/>
        </w:trPr>
        <w:tc>
          <w:tcPr>
            <w:tcW w:w="190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238" w:right="5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47"/>
        </w:trPr>
        <w:tc>
          <w:tcPr>
            <w:tcW w:w="2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Section 9.03</w:t>
            </w:r>
          </w:p>
        </w:tc>
        <w:tc>
          <w:tcPr>
            <w:tcW w:w="80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Expenses; Indemnity; Damage Waiver</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FF0000"/>
                <w:strike w:val="1"/>
                <w:w w:val="90"/>
              </w:rPr>
              <w:t>113</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119</w:t>
            </w:r>
          </w:p>
        </w:tc>
        <w:tc>
          <w:tcPr>
            <w:tcW w:w="0" w:type="dxa"/>
            <w:vAlign w:val="bottom"/>
          </w:tcPr>
          <w:p>
            <w:pPr>
              <w:spacing w:after="0"/>
              <w:rPr>
                <w:sz w:val="1"/>
                <w:szCs w:val="1"/>
                <w:color w:val="auto"/>
              </w:rPr>
            </w:pPr>
          </w:p>
        </w:tc>
      </w:tr>
      <w:tr>
        <w:trPr>
          <w:trHeight w:val="211"/>
        </w:trPr>
        <w:tc>
          <w:tcPr>
            <w:tcW w:w="2260" w:type="dxa"/>
            <w:vAlign w:val="bottom"/>
            <w:vMerge w:val="continue"/>
          </w:tcPr>
          <w:p>
            <w:pPr>
              <w:spacing w:after="0"/>
              <w:rPr>
                <w:sz w:val="17"/>
                <w:szCs w:val="17"/>
                <w:color w:val="auto"/>
              </w:rPr>
            </w:pPr>
          </w:p>
        </w:tc>
        <w:tc>
          <w:tcPr>
            <w:tcW w:w="80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9.04</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Successors and Assigns.</w:t>
            </w:r>
          </w:p>
        </w:tc>
        <w:tc>
          <w:tcPr>
            <w:tcW w:w="320" w:type="dxa"/>
            <w:vAlign w:val="bottom"/>
            <w:vMerge w:val="restart"/>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FF0000"/>
                <w:strike w:val="1"/>
              </w:rPr>
              <w:t>115</w:t>
            </w: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93"/>
        </w:trPr>
        <w:tc>
          <w:tcPr>
            <w:tcW w:w="2260" w:type="dxa"/>
            <w:vAlign w:val="bottom"/>
            <w:vMerge w:val="continue"/>
          </w:tcPr>
          <w:p>
            <w:pPr>
              <w:spacing w:after="0"/>
              <w:rPr>
                <w:sz w:val="7"/>
                <w:szCs w:val="7"/>
                <w:color w:val="auto"/>
              </w:rPr>
            </w:pPr>
          </w:p>
        </w:tc>
        <w:tc>
          <w:tcPr>
            <w:tcW w:w="8040" w:type="dxa"/>
            <w:vAlign w:val="bottom"/>
            <w:vMerge w:val="continue"/>
          </w:tcPr>
          <w:p>
            <w:pPr>
              <w:spacing w:after="0"/>
              <w:rPr>
                <w:sz w:val="7"/>
                <w:szCs w:val="7"/>
                <w:color w:val="auto"/>
              </w:rPr>
            </w:pPr>
          </w:p>
        </w:tc>
        <w:tc>
          <w:tcPr>
            <w:tcW w:w="320" w:type="dxa"/>
            <w:vAlign w:val="bottom"/>
            <w:tcBorders>
              <w:bottom w:val="single" w:sz="8" w:color="FF0000"/>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00" w:type="dxa"/>
            <w:vAlign w:val="bottom"/>
            <w:vMerge w:val="restart"/>
          </w:tcPr>
          <w:p>
            <w:pPr>
              <w:jc w:val="right"/>
              <w:spacing w:after="0" w:line="169" w:lineRule="exact"/>
              <w:rPr>
                <w:sz w:val="20"/>
                <w:szCs w:val="20"/>
                <w:color w:val="auto"/>
              </w:rPr>
            </w:pPr>
            <w:r>
              <w:rPr>
                <w:rFonts w:ascii="Times New Roman" w:cs="Times New Roman" w:eastAsia="Times New Roman" w:hAnsi="Times New Roman"/>
                <w:sz w:val="19"/>
                <w:szCs w:val="19"/>
                <w:color w:val="0000FF"/>
                <w:w w:val="98"/>
              </w:rPr>
              <w:t>121</w:t>
            </w:r>
          </w:p>
        </w:tc>
        <w:tc>
          <w:tcPr>
            <w:tcW w:w="0" w:type="dxa"/>
            <w:vAlign w:val="bottom"/>
          </w:tcPr>
          <w:p>
            <w:pPr>
              <w:spacing w:after="0"/>
              <w:rPr>
                <w:sz w:val="1"/>
                <w:szCs w:val="1"/>
                <w:color w:val="auto"/>
              </w:rPr>
            </w:pPr>
          </w:p>
        </w:tc>
      </w:tr>
      <w:tr>
        <w:trPr>
          <w:trHeight w:val="66"/>
        </w:trPr>
        <w:tc>
          <w:tcPr>
            <w:tcW w:w="2260" w:type="dxa"/>
            <w:vAlign w:val="bottom"/>
            <w:vMerge w:val="continue"/>
          </w:tcPr>
          <w:p>
            <w:pPr>
              <w:spacing w:after="0"/>
              <w:rPr>
                <w:sz w:val="5"/>
                <w:szCs w:val="5"/>
                <w:color w:val="auto"/>
              </w:rPr>
            </w:pPr>
          </w:p>
        </w:tc>
        <w:tc>
          <w:tcPr>
            <w:tcW w:w="8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300" w:type="dxa"/>
            <w:vAlign w:val="bottom"/>
            <w:tcBorders>
              <w:bottom w:val="single" w:sz="8" w:color="0000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9.05</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Survival</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119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124</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9.06</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Counterparts; Integration; Effectiveness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119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9.07</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Severability</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119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9.08</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Right of Setoff</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119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9.09</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120</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126</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9.10</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WAIVER OF JURY TRIAL</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120</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126</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9.11</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Collateral and Guaranty Matters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121</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126</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9.12</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Collateral/Guarantee Release Event</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122</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127</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9.13</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Confidentiality</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122</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128</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9.14</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Interest Rate Limitation</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123</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129</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9.15</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USA Patriot Act</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123</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129</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32" w:lineRule="exact"/>
              <w:rPr>
                <w:sz w:val="20"/>
                <w:szCs w:val="20"/>
                <w:color w:val="auto"/>
              </w:rPr>
            </w:pPr>
            <w:r>
              <w:rPr>
                <w:rFonts w:ascii="Times New Roman" w:cs="Times New Roman" w:eastAsia="Times New Roman" w:hAnsi="Times New Roman"/>
                <w:sz w:val="22"/>
                <w:szCs w:val="22"/>
                <w:color w:val="auto"/>
              </w:rPr>
              <w:t>Section 9.16</w:t>
            </w:r>
          </w:p>
        </w:tc>
        <w:tc>
          <w:tcPr>
            <w:tcW w:w="8040" w:type="dxa"/>
            <w:vAlign w:val="bottom"/>
            <w:vMerge w:val="restart"/>
          </w:tcPr>
          <w:p>
            <w:pPr>
              <w:ind w:left="40"/>
              <w:spacing w:after="0" w:line="232" w:lineRule="exact"/>
              <w:rPr>
                <w:sz w:val="20"/>
                <w:szCs w:val="20"/>
                <w:color w:val="auto"/>
              </w:rPr>
            </w:pPr>
            <w:r>
              <w:rPr>
                <w:rFonts w:ascii="Times New Roman" w:cs="Times New Roman" w:eastAsia="Times New Roman" w:hAnsi="Times New Roman"/>
                <w:sz w:val="22"/>
                <w:szCs w:val="22"/>
                <w:color w:val="auto"/>
              </w:rPr>
              <w:t>No Advisory or Fiduciary Responsibility</w:t>
            </w:r>
          </w:p>
        </w:tc>
        <w:tc>
          <w:tcPr>
            <w:tcW w:w="3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260" w:type="dxa"/>
            <w:vAlign w:val="bottom"/>
            <w:vMerge w:val="continue"/>
          </w:tcPr>
          <w:p>
            <w:pPr>
              <w:spacing w:after="0"/>
              <w:rPr>
                <w:sz w:val="15"/>
                <w:szCs w:val="15"/>
                <w:color w:val="auto"/>
              </w:rPr>
            </w:pPr>
          </w:p>
        </w:tc>
        <w:tc>
          <w:tcPr>
            <w:tcW w:w="8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9"/>
                <w:szCs w:val="19"/>
                <w:color w:val="auto"/>
              </w:rPr>
              <w:t>129</w:t>
            </w:r>
          </w:p>
        </w:tc>
        <w:tc>
          <w:tcPr>
            <w:tcW w:w="0" w:type="dxa"/>
            <w:vAlign w:val="bottom"/>
          </w:tcPr>
          <w:p>
            <w:pPr>
              <w:spacing w:after="0"/>
              <w:rPr>
                <w:sz w:val="1"/>
                <w:szCs w:val="1"/>
                <w:color w:val="auto"/>
              </w:rPr>
            </w:pPr>
          </w:p>
        </w:tc>
      </w:tr>
      <w:tr>
        <w:trPr>
          <w:trHeight w:val="234"/>
        </w:trPr>
        <w:tc>
          <w:tcPr>
            <w:tcW w:w="2260" w:type="dxa"/>
            <w:vAlign w:val="bottom"/>
          </w:tcPr>
          <w:p>
            <w:pPr>
              <w:ind w:left="420"/>
              <w:spacing w:after="0" w:line="233" w:lineRule="exact"/>
              <w:rPr>
                <w:sz w:val="20"/>
                <w:szCs w:val="20"/>
                <w:color w:val="auto"/>
              </w:rPr>
            </w:pPr>
            <w:r>
              <w:rPr>
                <w:rFonts w:ascii="Times New Roman" w:cs="Times New Roman" w:eastAsia="Times New Roman" w:hAnsi="Times New Roman"/>
                <w:sz w:val="22"/>
                <w:szCs w:val="22"/>
                <w:color w:val="auto"/>
              </w:rPr>
              <w:t>Section 9.17</w:t>
            </w:r>
          </w:p>
        </w:tc>
        <w:tc>
          <w:tcPr>
            <w:tcW w:w="8040" w:type="dxa"/>
            <w:vAlign w:val="bottom"/>
          </w:tcPr>
          <w:p>
            <w:pPr>
              <w:ind w:left="40"/>
              <w:spacing w:after="0" w:line="233" w:lineRule="exact"/>
              <w:rPr>
                <w:sz w:val="20"/>
                <w:szCs w:val="20"/>
                <w:color w:val="auto"/>
              </w:rPr>
            </w:pPr>
            <w:r>
              <w:rPr>
                <w:rFonts w:ascii="Times New Roman" w:cs="Times New Roman" w:eastAsia="Times New Roman" w:hAnsi="Times New Roman"/>
                <w:sz w:val="22"/>
                <w:szCs w:val="22"/>
                <w:color w:val="auto"/>
              </w:rPr>
              <w:t>Judgment Currency</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FF0000"/>
                <w:strike w:val="1"/>
                <w:w w:val="90"/>
              </w:rPr>
              <w:t>124</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130</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9.18</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Electronic Execution of Assignments and Certain Other Documents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125</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130</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9.19</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Acknowledgement and Consent to Bail-In of EEA Financial Institutions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125</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131</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9.20</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Headings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125</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131</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36" w:lineRule="exact"/>
              <w:rPr>
                <w:sz w:val="20"/>
                <w:szCs w:val="20"/>
                <w:color w:val="auto"/>
              </w:rPr>
            </w:pPr>
            <w:r>
              <w:rPr>
                <w:rFonts w:ascii="Times New Roman" w:cs="Times New Roman" w:eastAsia="Times New Roman" w:hAnsi="Times New Roman"/>
                <w:sz w:val="22"/>
                <w:szCs w:val="22"/>
                <w:color w:val="auto"/>
              </w:rPr>
              <w:t>Section 9.21</w:t>
            </w:r>
          </w:p>
        </w:tc>
        <w:tc>
          <w:tcPr>
            <w:tcW w:w="8040" w:type="dxa"/>
            <w:vAlign w:val="bottom"/>
            <w:vMerge w:val="restart"/>
          </w:tcPr>
          <w:p>
            <w:pPr>
              <w:ind w:left="40"/>
              <w:spacing w:after="0" w:line="236" w:lineRule="exact"/>
              <w:rPr>
                <w:sz w:val="20"/>
                <w:szCs w:val="20"/>
                <w:color w:val="auto"/>
              </w:rPr>
            </w:pPr>
            <w:r>
              <w:rPr>
                <w:rFonts w:ascii="Times New Roman" w:cs="Times New Roman" w:eastAsia="Times New Roman" w:hAnsi="Times New Roman"/>
                <w:sz w:val="22"/>
                <w:szCs w:val="22"/>
                <w:color w:val="auto"/>
              </w:rPr>
              <w:t>Certain ERISA Matters</w:t>
            </w:r>
          </w:p>
        </w:tc>
        <w:tc>
          <w:tcPr>
            <w:tcW w:w="3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8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21"/>
                <w:szCs w:val="21"/>
                <w:color w:val="auto"/>
                <w:w w:val="95"/>
              </w:rPr>
              <w:t>131</w:t>
            </w:r>
          </w:p>
        </w:tc>
        <w:tc>
          <w:tcPr>
            <w:tcW w:w="0" w:type="dxa"/>
            <w:vAlign w:val="bottom"/>
          </w:tcPr>
          <w:p>
            <w:pPr>
              <w:spacing w:after="0"/>
              <w:rPr>
                <w:sz w:val="1"/>
                <w:szCs w:val="1"/>
                <w:color w:val="auto"/>
              </w:rPr>
            </w:pPr>
          </w:p>
        </w:tc>
      </w:tr>
      <w:tr>
        <w:trPr>
          <w:trHeight w:val="282"/>
        </w:trPr>
        <w:tc>
          <w:tcPr>
            <w:tcW w:w="22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9.22</w:t>
            </w:r>
          </w:p>
        </w:tc>
        <w:tc>
          <w:tcPr>
            <w:tcW w:w="80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Recognition of the U.S. Special Resolution Regimes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132</w:t>
            </w:r>
          </w:p>
        </w:tc>
        <w:tc>
          <w:tcPr>
            <w:tcW w:w="0" w:type="dxa"/>
            <w:vAlign w:val="bottom"/>
          </w:tcPr>
          <w:p>
            <w:pPr>
              <w:spacing w:after="0"/>
              <w:rPr>
                <w:sz w:val="1"/>
                <w:szCs w:val="1"/>
                <w:color w:val="auto"/>
              </w:rPr>
            </w:pPr>
          </w:p>
        </w:tc>
      </w:tr>
      <w:tr>
        <w:trPr>
          <w:trHeight w:val="420"/>
        </w:trPr>
        <w:tc>
          <w:tcPr>
            <w:tcW w:w="22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w w:val="99"/>
              </w:rPr>
              <w:t>Article X. GUARANTY</w:t>
            </w:r>
          </w:p>
        </w:tc>
        <w:tc>
          <w:tcPr>
            <w:tcW w:w="804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133</w:t>
            </w:r>
          </w:p>
        </w:tc>
        <w:tc>
          <w:tcPr>
            <w:tcW w:w="0" w:type="dxa"/>
            <w:vAlign w:val="bottom"/>
          </w:tcPr>
          <w:p>
            <w:pPr>
              <w:spacing w:after="0"/>
              <w:rPr>
                <w:sz w:val="1"/>
                <w:szCs w:val="1"/>
                <w:color w:val="auto"/>
              </w:rPr>
            </w:pPr>
          </w:p>
        </w:tc>
      </w:tr>
      <w:tr>
        <w:trPr>
          <w:trHeight w:val="239"/>
        </w:trPr>
        <w:tc>
          <w:tcPr>
            <w:tcW w:w="2260" w:type="dxa"/>
            <w:vAlign w:val="bottom"/>
          </w:tcPr>
          <w:p>
            <w:pPr>
              <w:ind w:left="420"/>
              <w:spacing w:after="0" w:line="239" w:lineRule="exact"/>
              <w:rPr>
                <w:sz w:val="20"/>
                <w:szCs w:val="20"/>
                <w:color w:val="auto"/>
              </w:rPr>
            </w:pPr>
            <w:r>
              <w:rPr>
                <w:rFonts w:ascii="Times New Roman" w:cs="Times New Roman" w:eastAsia="Times New Roman" w:hAnsi="Times New Roman"/>
                <w:sz w:val="22"/>
                <w:szCs w:val="22"/>
                <w:color w:val="auto"/>
              </w:rPr>
              <w:t>Section 10.01</w:t>
            </w:r>
          </w:p>
        </w:tc>
        <w:tc>
          <w:tcPr>
            <w:tcW w:w="8040" w:type="dxa"/>
            <w:vAlign w:val="bottom"/>
          </w:tcPr>
          <w:p>
            <w:pPr>
              <w:ind w:left="40"/>
              <w:spacing w:after="0" w:line="239" w:lineRule="exact"/>
              <w:rPr>
                <w:sz w:val="20"/>
                <w:szCs w:val="20"/>
                <w:color w:val="auto"/>
              </w:rPr>
            </w:pPr>
            <w:r>
              <w:rPr>
                <w:rFonts w:ascii="Times New Roman" w:cs="Times New Roman" w:eastAsia="Times New Roman" w:hAnsi="Times New Roman"/>
                <w:sz w:val="22"/>
                <w:szCs w:val="22"/>
                <w:color w:val="auto"/>
              </w:rPr>
              <w:t>The Guaranty</w:t>
            </w:r>
          </w:p>
        </w:tc>
        <w:tc>
          <w:tcPr>
            <w:tcW w:w="640" w:type="dxa"/>
            <w:vAlign w:val="bottom"/>
            <w:gridSpan w:val="3"/>
          </w:tcPr>
          <w:p>
            <w:pPr>
              <w:jc w:val="right"/>
              <w:spacing w:after="0" w:line="239" w:lineRule="exact"/>
              <w:rPr>
                <w:sz w:val="20"/>
                <w:szCs w:val="20"/>
                <w:color w:val="auto"/>
              </w:rPr>
            </w:pPr>
            <w:r>
              <w:rPr>
                <w:rFonts w:ascii="Times New Roman" w:cs="Times New Roman" w:eastAsia="Times New Roman" w:hAnsi="Times New Roman"/>
                <w:sz w:val="22"/>
                <w:szCs w:val="22"/>
                <w:color w:val="auto"/>
              </w:rPr>
              <w:t>133</w:t>
            </w:r>
          </w:p>
        </w:tc>
        <w:tc>
          <w:tcPr>
            <w:tcW w:w="0" w:type="dxa"/>
            <w:vAlign w:val="bottom"/>
          </w:tcPr>
          <w:p>
            <w:pPr>
              <w:spacing w:after="0"/>
              <w:rPr>
                <w:sz w:val="1"/>
                <w:szCs w:val="1"/>
                <w:color w:val="auto"/>
              </w:rPr>
            </w:pPr>
          </w:p>
        </w:tc>
      </w:tr>
      <w:tr>
        <w:trPr>
          <w:trHeight w:val="234"/>
        </w:trPr>
        <w:tc>
          <w:tcPr>
            <w:tcW w:w="2260" w:type="dxa"/>
            <w:vAlign w:val="bottom"/>
          </w:tcPr>
          <w:p>
            <w:pPr>
              <w:ind w:left="420"/>
              <w:spacing w:after="0" w:line="233" w:lineRule="exact"/>
              <w:rPr>
                <w:sz w:val="20"/>
                <w:szCs w:val="20"/>
                <w:color w:val="auto"/>
              </w:rPr>
            </w:pPr>
            <w:r>
              <w:rPr>
                <w:rFonts w:ascii="Times New Roman" w:cs="Times New Roman" w:eastAsia="Times New Roman" w:hAnsi="Times New Roman"/>
                <w:sz w:val="22"/>
                <w:szCs w:val="22"/>
                <w:color w:val="auto"/>
              </w:rPr>
              <w:t>Section 10.02</w:t>
            </w:r>
          </w:p>
        </w:tc>
        <w:tc>
          <w:tcPr>
            <w:tcW w:w="8040" w:type="dxa"/>
            <w:vAlign w:val="bottom"/>
          </w:tcPr>
          <w:p>
            <w:pPr>
              <w:ind w:left="40"/>
              <w:spacing w:after="0" w:line="233" w:lineRule="exact"/>
              <w:rPr>
                <w:sz w:val="20"/>
                <w:szCs w:val="20"/>
                <w:color w:val="auto"/>
              </w:rPr>
            </w:pPr>
            <w:r>
              <w:rPr>
                <w:rFonts w:ascii="Times New Roman" w:cs="Times New Roman" w:eastAsia="Times New Roman" w:hAnsi="Times New Roman"/>
                <w:sz w:val="22"/>
                <w:szCs w:val="22"/>
                <w:color w:val="auto"/>
              </w:rPr>
              <w:t>Obligations Unconditional</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FF0000"/>
                <w:strike w:val="1"/>
                <w:w w:val="90"/>
              </w:rPr>
              <w:t>128</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134</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10.03</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Reinstatement</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10.04</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Subrogation; Subordination</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10.05</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Remedies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129</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32" w:lineRule="exact"/>
              <w:rPr>
                <w:sz w:val="20"/>
                <w:szCs w:val="20"/>
                <w:color w:val="auto"/>
              </w:rPr>
            </w:pPr>
            <w:r>
              <w:rPr>
                <w:rFonts w:ascii="Times New Roman" w:cs="Times New Roman" w:eastAsia="Times New Roman" w:hAnsi="Times New Roman"/>
                <w:sz w:val="22"/>
                <w:szCs w:val="22"/>
                <w:color w:val="auto"/>
              </w:rPr>
              <w:t>Section 10.06</w:t>
            </w:r>
          </w:p>
        </w:tc>
        <w:tc>
          <w:tcPr>
            <w:tcW w:w="8040" w:type="dxa"/>
            <w:vAlign w:val="bottom"/>
            <w:vMerge w:val="restart"/>
          </w:tcPr>
          <w:p>
            <w:pPr>
              <w:ind w:left="40"/>
              <w:spacing w:after="0" w:line="232" w:lineRule="exact"/>
              <w:rPr>
                <w:sz w:val="20"/>
                <w:szCs w:val="20"/>
                <w:color w:val="auto"/>
              </w:rPr>
            </w:pPr>
            <w:r>
              <w:rPr>
                <w:rFonts w:ascii="Times New Roman" w:cs="Times New Roman" w:eastAsia="Times New Roman" w:hAnsi="Times New Roman"/>
                <w:sz w:val="22"/>
                <w:szCs w:val="22"/>
                <w:color w:val="auto"/>
              </w:rPr>
              <w:t>Instrument for the Payment of Money</w:t>
            </w:r>
          </w:p>
        </w:tc>
        <w:tc>
          <w:tcPr>
            <w:tcW w:w="3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260" w:type="dxa"/>
            <w:vAlign w:val="bottom"/>
            <w:vMerge w:val="continue"/>
          </w:tcPr>
          <w:p>
            <w:pPr>
              <w:spacing w:after="0"/>
              <w:rPr>
                <w:sz w:val="15"/>
                <w:szCs w:val="15"/>
                <w:color w:val="auto"/>
              </w:rPr>
            </w:pPr>
          </w:p>
        </w:tc>
        <w:tc>
          <w:tcPr>
            <w:tcW w:w="8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9"/>
                <w:szCs w:val="19"/>
                <w:color w:val="auto"/>
              </w:rPr>
              <w:t>135</w:t>
            </w:r>
          </w:p>
        </w:tc>
        <w:tc>
          <w:tcPr>
            <w:tcW w:w="0" w:type="dxa"/>
            <w:vAlign w:val="bottom"/>
          </w:tcPr>
          <w:p>
            <w:pPr>
              <w:spacing w:after="0"/>
              <w:rPr>
                <w:sz w:val="1"/>
                <w:szCs w:val="1"/>
                <w:color w:val="auto"/>
              </w:rPr>
            </w:pPr>
          </w:p>
        </w:tc>
      </w:tr>
      <w:tr>
        <w:trPr>
          <w:trHeight w:val="234"/>
        </w:trPr>
        <w:tc>
          <w:tcPr>
            <w:tcW w:w="2260" w:type="dxa"/>
            <w:vAlign w:val="bottom"/>
          </w:tcPr>
          <w:p>
            <w:pPr>
              <w:ind w:left="420"/>
              <w:spacing w:after="0" w:line="233" w:lineRule="exact"/>
              <w:rPr>
                <w:sz w:val="20"/>
                <w:szCs w:val="20"/>
                <w:color w:val="auto"/>
              </w:rPr>
            </w:pPr>
            <w:r>
              <w:rPr>
                <w:rFonts w:ascii="Times New Roman" w:cs="Times New Roman" w:eastAsia="Times New Roman" w:hAnsi="Times New Roman"/>
                <w:sz w:val="22"/>
                <w:szCs w:val="22"/>
                <w:color w:val="auto"/>
              </w:rPr>
              <w:t>Section 10.07</w:t>
            </w:r>
          </w:p>
        </w:tc>
        <w:tc>
          <w:tcPr>
            <w:tcW w:w="8040" w:type="dxa"/>
            <w:vAlign w:val="bottom"/>
          </w:tcPr>
          <w:p>
            <w:pPr>
              <w:ind w:left="40"/>
              <w:spacing w:after="0" w:line="233" w:lineRule="exact"/>
              <w:rPr>
                <w:sz w:val="20"/>
                <w:szCs w:val="20"/>
                <w:color w:val="auto"/>
              </w:rPr>
            </w:pPr>
            <w:r>
              <w:rPr>
                <w:rFonts w:ascii="Times New Roman" w:cs="Times New Roman" w:eastAsia="Times New Roman" w:hAnsi="Times New Roman"/>
                <w:sz w:val="22"/>
                <w:szCs w:val="22"/>
                <w:color w:val="auto"/>
              </w:rPr>
              <w:t>Continuing Guaranty</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FF0000"/>
                <w:strike w:val="1"/>
                <w:w w:val="90"/>
              </w:rPr>
              <w:t>130</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135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10.08</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General Limitation on Guarantee Obligations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130</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135</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10.09</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Information</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130</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136</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23" w:lineRule="exact"/>
              <w:rPr>
                <w:sz w:val="20"/>
                <w:szCs w:val="20"/>
                <w:color w:val="auto"/>
              </w:rPr>
            </w:pPr>
            <w:r>
              <w:rPr>
                <w:rFonts w:ascii="Times New Roman" w:cs="Times New Roman" w:eastAsia="Times New Roman" w:hAnsi="Times New Roman"/>
                <w:sz w:val="22"/>
                <w:szCs w:val="22"/>
                <w:color w:val="auto"/>
              </w:rPr>
              <w:t>Section 10.10</w:t>
            </w:r>
          </w:p>
        </w:tc>
        <w:tc>
          <w:tcPr>
            <w:tcW w:w="8040" w:type="dxa"/>
            <w:vAlign w:val="bottom"/>
            <w:vMerge w:val="restart"/>
          </w:tcPr>
          <w:p>
            <w:pPr>
              <w:ind w:left="40"/>
              <w:spacing w:after="0" w:line="223" w:lineRule="exact"/>
              <w:rPr>
                <w:sz w:val="20"/>
                <w:szCs w:val="20"/>
                <w:color w:val="auto"/>
              </w:rPr>
            </w:pPr>
            <w:r>
              <w:rPr>
                <w:rFonts w:ascii="Times New Roman" w:cs="Times New Roman" w:eastAsia="Times New Roman" w:hAnsi="Times New Roman"/>
                <w:sz w:val="22"/>
                <w:szCs w:val="22"/>
                <w:color w:val="auto"/>
              </w:rPr>
              <w:t>Release of Guarantors</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FF0000"/>
                <w:strike w:val="1"/>
                <w:w w:val="90"/>
              </w:rPr>
              <w:t>130</w:t>
            </w: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260" w:type="dxa"/>
            <w:vAlign w:val="bottom"/>
            <w:vMerge w:val="continue"/>
          </w:tcPr>
          <w:p>
            <w:pPr>
              <w:spacing w:after="0"/>
              <w:rPr>
                <w:sz w:val="14"/>
                <w:szCs w:val="14"/>
                <w:color w:val="auto"/>
              </w:rPr>
            </w:pPr>
          </w:p>
        </w:tc>
        <w:tc>
          <w:tcPr>
            <w:tcW w:w="804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Borders>
              <w:bottom w:val="single" w:sz="8" w:color="0000FF"/>
            </w:tcBorders>
            <w:gridSpan w:val="2"/>
          </w:tcPr>
          <w:p>
            <w:pPr>
              <w:jc w:val="right"/>
              <w:spacing w:after="0" w:line="169" w:lineRule="exact"/>
              <w:rPr>
                <w:sz w:val="20"/>
                <w:szCs w:val="20"/>
                <w:color w:val="auto"/>
              </w:rPr>
            </w:pPr>
            <w:r>
              <w:rPr>
                <w:rFonts w:ascii="Times New Roman" w:cs="Times New Roman" w:eastAsia="Times New Roman" w:hAnsi="Times New Roman"/>
                <w:sz w:val="19"/>
                <w:szCs w:val="19"/>
                <w:color w:val="0000FF"/>
              </w:rPr>
              <w:t>136</w:t>
            </w:r>
          </w:p>
        </w:tc>
        <w:tc>
          <w:tcPr>
            <w:tcW w:w="0" w:type="dxa"/>
            <w:vAlign w:val="bottom"/>
          </w:tcPr>
          <w:p>
            <w:pPr>
              <w:spacing w:after="0"/>
              <w:rPr>
                <w:sz w:val="1"/>
                <w:szCs w:val="1"/>
                <w:color w:val="auto"/>
              </w:rPr>
            </w:pPr>
          </w:p>
        </w:tc>
      </w:tr>
      <w:tr>
        <w:trPr>
          <w:trHeight w:val="34"/>
        </w:trPr>
        <w:tc>
          <w:tcPr>
            <w:tcW w:w="2260" w:type="dxa"/>
            <w:vAlign w:val="bottom"/>
            <w:vMerge w:val="restart"/>
          </w:tcPr>
          <w:p>
            <w:pPr>
              <w:ind w:left="420"/>
              <w:spacing w:after="0" w:line="232" w:lineRule="exact"/>
              <w:rPr>
                <w:sz w:val="20"/>
                <w:szCs w:val="20"/>
                <w:color w:val="auto"/>
              </w:rPr>
            </w:pPr>
            <w:r>
              <w:rPr>
                <w:rFonts w:ascii="Times New Roman" w:cs="Times New Roman" w:eastAsia="Times New Roman" w:hAnsi="Times New Roman"/>
                <w:sz w:val="22"/>
                <w:szCs w:val="22"/>
                <w:color w:val="auto"/>
              </w:rPr>
              <w:t>Section 10.11</w:t>
            </w:r>
          </w:p>
        </w:tc>
        <w:tc>
          <w:tcPr>
            <w:tcW w:w="8040" w:type="dxa"/>
            <w:vAlign w:val="bottom"/>
            <w:vMerge w:val="restart"/>
          </w:tcPr>
          <w:p>
            <w:pPr>
              <w:ind w:left="40"/>
              <w:spacing w:after="0" w:line="232" w:lineRule="exact"/>
              <w:rPr>
                <w:sz w:val="20"/>
                <w:szCs w:val="20"/>
                <w:color w:val="auto"/>
              </w:rPr>
            </w:pPr>
            <w:r>
              <w:rPr>
                <w:rFonts w:ascii="Times New Roman" w:cs="Times New Roman" w:eastAsia="Times New Roman" w:hAnsi="Times New Roman"/>
                <w:sz w:val="22"/>
                <w:szCs w:val="22"/>
                <w:color w:val="auto"/>
              </w:rPr>
              <w:t>Right of Contribution</w:t>
            </w:r>
          </w:p>
        </w:tc>
        <w:tc>
          <w:tcPr>
            <w:tcW w:w="3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260" w:type="dxa"/>
            <w:vAlign w:val="bottom"/>
            <w:vMerge w:val="continue"/>
          </w:tcPr>
          <w:p>
            <w:pPr>
              <w:spacing w:after="0"/>
              <w:rPr>
                <w:sz w:val="15"/>
                <w:szCs w:val="15"/>
                <w:color w:val="auto"/>
              </w:rPr>
            </w:pPr>
          </w:p>
        </w:tc>
        <w:tc>
          <w:tcPr>
            <w:tcW w:w="80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32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9"/>
                <w:szCs w:val="19"/>
                <w:color w:val="auto"/>
              </w:rPr>
              <w:t>136</w:t>
            </w:r>
          </w:p>
        </w:tc>
        <w:tc>
          <w:tcPr>
            <w:tcW w:w="0" w:type="dxa"/>
            <w:vAlign w:val="bottom"/>
          </w:tcPr>
          <w:p>
            <w:pPr>
              <w:spacing w:after="0"/>
              <w:rPr>
                <w:sz w:val="1"/>
                <w:szCs w:val="1"/>
                <w:color w:val="auto"/>
              </w:rPr>
            </w:pPr>
          </w:p>
        </w:tc>
      </w:tr>
      <w:tr>
        <w:trPr>
          <w:trHeight w:val="234"/>
        </w:trPr>
        <w:tc>
          <w:tcPr>
            <w:tcW w:w="2260" w:type="dxa"/>
            <w:vAlign w:val="bottom"/>
          </w:tcPr>
          <w:p>
            <w:pPr>
              <w:ind w:left="420"/>
              <w:spacing w:after="0" w:line="233" w:lineRule="exact"/>
              <w:rPr>
                <w:sz w:val="20"/>
                <w:szCs w:val="20"/>
                <w:color w:val="auto"/>
              </w:rPr>
            </w:pPr>
            <w:r>
              <w:rPr>
                <w:rFonts w:ascii="Times New Roman" w:cs="Times New Roman" w:eastAsia="Times New Roman" w:hAnsi="Times New Roman"/>
                <w:sz w:val="22"/>
                <w:szCs w:val="22"/>
                <w:color w:val="auto"/>
              </w:rPr>
              <w:t>Section 10.12</w:t>
            </w:r>
          </w:p>
        </w:tc>
        <w:tc>
          <w:tcPr>
            <w:tcW w:w="8040" w:type="dxa"/>
            <w:vAlign w:val="bottom"/>
          </w:tcPr>
          <w:p>
            <w:pPr>
              <w:ind w:left="40"/>
              <w:spacing w:after="0" w:line="233" w:lineRule="exact"/>
              <w:rPr>
                <w:sz w:val="20"/>
                <w:szCs w:val="20"/>
                <w:color w:val="auto"/>
              </w:rPr>
            </w:pPr>
            <w:r>
              <w:rPr>
                <w:rFonts w:ascii="Times New Roman" w:cs="Times New Roman" w:eastAsia="Times New Roman" w:hAnsi="Times New Roman"/>
                <w:sz w:val="22"/>
                <w:szCs w:val="22"/>
                <w:color w:val="auto"/>
              </w:rPr>
              <w:t>Cross-Guaranty</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FF0000"/>
                <w:strike w:val="1"/>
                <w:w w:val="90"/>
              </w:rPr>
              <w:t>131</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137</w:t>
            </w:r>
          </w:p>
        </w:tc>
        <w:tc>
          <w:tcPr>
            <w:tcW w:w="0" w:type="dxa"/>
            <w:vAlign w:val="bottom"/>
          </w:tcPr>
          <w:p>
            <w:pPr>
              <w:spacing w:after="0"/>
              <w:rPr>
                <w:sz w:val="1"/>
                <w:szCs w:val="1"/>
                <w:color w:val="auto"/>
              </w:rPr>
            </w:pPr>
          </w:p>
        </w:tc>
      </w:tr>
      <w:tr>
        <w:trPr>
          <w:trHeight w:val="34"/>
        </w:trPr>
        <w:tc>
          <w:tcPr>
            <w:tcW w:w="22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300" w:type="dxa"/>
            <w:vAlign w:val="bottom"/>
            <w:tcBorders>
              <w:bottom w:val="single" w:sz="8" w:color="0000FF"/>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38" w:right="5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53"/>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SCHEDULES:</w:t>
            </w:r>
          </w:p>
        </w:tc>
        <w:tc>
          <w:tcPr>
            <w:tcW w:w="4620" w:type="dxa"/>
            <w:vAlign w:val="bottom"/>
          </w:tcPr>
          <w:p>
            <w:pPr>
              <w:spacing w:after="0"/>
              <w:rPr>
                <w:sz w:val="22"/>
                <w:szCs w:val="22"/>
                <w:color w:val="auto"/>
              </w:rPr>
            </w:pPr>
          </w:p>
        </w:tc>
      </w:tr>
      <w:tr>
        <w:trPr>
          <w:trHeight w:val="479"/>
        </w:trPr>
        <w:tc>
          <w:tcPr>
            <w:tcW w:w="1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Schedule 1.01</w:t>
            </w:r>
          </w:p>
        </w:tc>
        <w:tc>
          <w:tcPr>
            <w:tcW w:w="420" w:type="dxa"/>
            <w:vAlign w:val="bottom"/>
          </w:tcPr>
          <w:p>
            <w:pPr>
              <w:spacing w:after="0"/>
              <w:rPr>
                <w:sz w:val="24"/>
                <w:szCs w:val="24"/>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Consolidated EBITDA</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2.01</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Commitments</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3.06</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Disclosed Matters</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5.13</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Post-Closing Covenants</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6.01(b)</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Existing Indebtedness</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6.02</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Existing Liens</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Schedule 6.04</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Existing Investments</w:t>
            </w:r>
          </w:p>
        </w:tc>
      </w:tr>
      <w:tr>
        <w:trPr>
          <w:trHeight w:val="282"/>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9.01</w:t>
            </w:r>
          </w:p>
        </w:tc>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Administrative Agent’s Office</w:t>
            </w:r>
          </w:p>
        </w:tc>
      </w:tr>
      <w:tr>
        <w:trPr>
          <w:trHeight w:val="514"/>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EXHIBITS:</w:t>
            </w:r>
          </w:p>
        </w:tc>
        <w:tc>
          <w:tcPr>
            <w:tcW w:w="680" w:type="dxa"/>
            <w:vAlign w:val="bottom"/>
            <w:gridSpan w:val="2"/>
          </w:tcPr>
          <w:p>
            <w:pPr>
              <w:spacing w:after="0"/>
              <w:rPr>
                <w:sz w:val="24"/>
                <w:szCs w:val="24"/>
                <w:color w:val="auto"/>
              </w:rPr>
            </w:pPr>
          </w:p>
        </w:tc>
        <w:tc>
          <w:tcPr>
            <w:tcW w:w="4620" w:type="dxa"/>
            <w:vAlign w:val="bottom"/>
          </w:tcPr>
          <w:p>
            <w:pPr>
              <w:spacing w:after="0"/>
              <w:rPr>
                <w:sz w:val="24"/>
                <w:szCs w:val="24"/>
                <w:color w:val="auto"/>
              </w:rPr>
            </w:pPr>
          </w:p>
        </w:tc>
      </w:tr>
      <w:tr>
        <w:trPr>
          <w:trHeight w:val="479"/>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A</w:t>
            </w:r>
          </w:p>
        </w:tc>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Borrowing Request</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Form of United States Tax Compliance Certificate</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Compliance Certificate</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Perfection Certificate</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Intercompany Note</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Security Agreement</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H-1</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Pari Passu Intercreditor Agreement</w:t>
            </w:r>
          </w:p>
        </w:tc>
      </w:tr>
      <w:tr>
        <w:trPr>
          <w:trHeight w:val="243"/>
        </w:trPr>
        <w:tc>
          <w:tcPr>
            <w:tcW w:w="17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H-2</w:t>
            </w:r>
          </w:p>
        </w:tc>
        <w:tc>
          <w:tcPr>
            <w:tcW w:w="462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Form of Junior Lien Intercreditor Agreement</w:t>
            </w:r>
          </w:p>
        </w:tc>
      </w:tr>
      <w:tr>
        <w:trPr>
          <w:trHeight w:val="282"/>
        </w:trPr>
        <w:tc>
          <w:tcPr>
            <w:tcW w:w="1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I</w:t>
            </w:r>
          </w:p>
        </w:tc>
        <w:tc>
          <w:tcPr>
            <w:tcW w:w="46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Form of Letter of Credit Application</w:t>
            </w:r>
          </w:p>
        </w:tc>
      </w:tr>
      <w:tr>
        <w:trPr>
          <w:trHeight w:val="353"/>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-iv-</w:t>
            </w:r>
          </w:p>
        </w:tc>
      </w:tr>
    </w:tbl>
    <w:p>
      <w:pPr>
        <w:ind w:left="3660"/>
        <w:spacing w:after="0"/>
        <w:rPr>
          <w:sz w:val="20"/>
          <w:szCs w:val="20"/>
          <w:color w:val="auto"/>
        </w:rPr>
        <w:sectPr>
          <w:pgSz w:w="11900" w:h="16838" w:orient="portrait"/>
          <w:cols w:equalWidth="0" w:num="1">
            <w:col w:w="10019"/>
          </w:cols>
          <w:pgMar w:left="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3" w:name="page14"/>
    <w:bookmarkEnd w:id="13"/>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 dated as of April 8, 2019 (</w:t>
      </w:r>
      <w:r>
        <w:rPr>
          <w:rFonts w:ascii="Times New Roman" w:cs="Times New Roman" w:eastAsia="Times New Roman" w:hAnsi="Times New Roman"/>
          <w:sz w:val="20"/>
          <w:szCs w:val="20"/>
          <w:u w:val="single" w:color="auto"/>
          <w:color w:val="0000FF"/>
        </w:rPr>
        <w:t>as amended by Amendment No. 1, dated as of November 7, 2019, and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No. 2, dated as of March 31, 2023,</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this “</w:t>
      </w:r>
      <w:r>
        <w:rPr>
          <w:rFonts w:ascii="Times New Roman" w:cs="Times New Roman" w:eastAsia="Times New Roman" w:hAnsi="Times New Roman"/>
          <w:sz w:val="20"/>
          <w:szCs w:val="20"/>
          <w:u w:val="single" w:color="auto"/>
          <w:color w:val="000000"/>
        </w:rPr>
        <w:t>Agreement</w:t>
      </w:r>
      <w:r>
        <w:rPr>
          <w:rFonts w:ascii="Times New Roman" w:cs="Times New Roman" w:eastAsia="Times New Roman" w:hAnsi="Times New Roman"/>
          <w:sz w:val="20"/>
          <w:szCs w:val="20"/>
          <w:color w:val="000000"/>
        </w:rPr>
        <w:t>”), among TRADEWEB MARKETS LLC, a Delaware limited liability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company (the </w:t>
      </w:r>
      <w:r>
        <w:rPr>
          <w:rFonts w:ascii="Times New Roman" w:cs="Times New Roman" w:eastAsia="Times New Roman" w:hAnsi="Times New Roman"/>
          <w:sz w:val="20"/>
          <w:szCs w:val="20"/>
          <w:u w:val="single" w:color="auto"/>
          <w:color w:val="000000"/>
        </w:rPr>
        <w:t>“Borrower</w:t>
      </w:r>
      <w:r>
        <w:rPr>
          <w:rFonts w:ascii="Times New Roman" w:cs="Times New Roman" w:eastAsia="Times New Roman" w:hAnsi="Times New Roman"/>
          <w:sz w:val="20"/>
          <w:szCs w:val="20"/>
          <w:color w:val="000000"/>
        </w:rPr>
        <w:t>”), the LENDERS party hereto, and CITIBANK, N.A., as Administrative Agent, Collateral Agent, Issuing Bank and Swing Line Lender.</w:t>
      </w:r>
    </w:p>
    <w:p>
      <w:pPr>
        <w:spacing w:after="0" w:line="180"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 xml:space="preserve">The Borrower has requested that the Revolving Lenders extend credit in the form of Revolving Loans and the Issuing Banks issue Letters of Credit, in each case at any time and from time to time during the Revolving Availability Period in an initial principal amount not to exceed $500,000,000. In addition, the Borrower may request that the Lenders or prospective Additional Lenders agree to provide Incremental Revolving Commitments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from time to time on or after the Closing Date in an aggregate amount not to exceed $250,000,000.</w:t>
      </w:r>
    </w:p>
    <w:p>
      <w:pPr>
        <w:spacing w:after="0" w:line="185"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The Lenders are willing to extend such credit to the Borrower, and the Issuing Banks are willing to issue Letters of Credit for the account of the Borrower, on the terms and subject to the conditions set forth herein.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Accordingly, the parties hereto agree as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DEFINITIONS</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means, when used in reference to any Loan or Borrowing, whether such Loan, or the Loans comprising such Borrowing, are bearing interest at a rate determined by reference to the Base Rate.</w:t>
      </w:r>
    </w:p>
    <w:p>
      <w:pPr>
        <w:spacing w:after="0" w:line="159"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Acquired EBITDA</w:t>
      </w:r>
      <w:r>
        <w:rPr>
          <w:rFonts w:ascii="Times New Roman" w:cs="Times New Roman" w:eastAsia="Times New Roman" w:hAnsi="Times New Roman"/>
          <w:sz w:val="20"/>
          <w:szCs w:val="20"/>
          <w:color w:val="auto"/>
        </w:rPr>
        <w:t>” means, with respect to any Acquired Entity or Business or any Converted Restricted Subsidiary for any period, the amount for such period of Consolidated EBITDA of such Acquired Entity or Business or Converted Restricted Subsidiary (determined as if references to the Borrower and its Restricted Subsidiaries in the definition of Consolidated EBITDA were references to such Acquired Entity or Business and its Subsidiaries or to such Converted Restricted Subsidiary and its Subsidiaries), as applicable, all as determined on a consolidated basis for such Acquired Entity or Business or Converted Restricted Subsidiary, as applicable.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Holiday</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71"/>
        <w:spacing w:after="0" w:line="230" w:lineRule="auto"/>
        <w:rPr>
          <w:sz w:val="20"/>
          <w:szCs w:val="20"/>
          <w:color w:val="auto"/>
        </w:rPr>
      </w:pPr>
      <w:r>
        <w:rPr>
          <w:rFonts w:ascii="Times New Roman" w:cs="Times New Roman" w:eastAsia="Times New Roman" w:hAnsi="Times New Roman"/>
          <w:sz w:val="20"/>
          <w:szCs w:val="20"/>
          <w:u w:val="single" w:color="auto"/>
          <w:color w:val="0000FF"/>
        </w:rPr>
        <w:t>“Adjusted Daily Simple RFR” means, for any day (an “RFR Rate Day”), a rate per annum equal to, for any Obligations, interest, fees, commissions or other amounts denominated in, or calculated with respect to Sterling, the greater of (i) SONIA for the day (such day, a “Sterling RFR Determination Day”)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provided that if by 5:00 p.m. (London time) on the second (2</w:t>
      </w:r>
      <w:r>
        <w:rPr>
          <w:rFonts w:ascii="Times New Roman" w:cs="Times New Roman" w:eastAsia="Times New Roman" w:hAnsi="Times New Roman"/>
          <w:sz w:val="29"/>
          <w:szCs w:val="29"/>
          <w:u w:val="single" w:color="auto"/>
          <w:color w:val="0000FF"/>
          <w:vertAlign w:val="superscript"/>
        </w:rPr>
        <w:t>nd</w:t>
      </w:r>
      <w:r>
        <w:rPr>
          <w:rFonts w:ascii="Times New Roman" w:cs="Times New Roman" w:eastAsia="Times New Roman" w:hAnsi="Times New Roman"/>
          <w:sz w:val="20"/>
          <w:szCs w:val="20"/>
          <w:u w:val="single" w:color="auto"/>
          <w:color w:val="0000FF"/>
        </w:rPr>
        <w:t>) RFR Business Day immediately following any Sterling RFR Determination Day, SONIA in respect of such Sterling RFR Determination Day has not been published on the SONIA Administrator’s Website, then SONIA for such Sterling RFR Determination Day will be SONIA as published in respect of the first</w:t>
      </w:r>
    </w:p>
    <w:p>
      <w:pPr>
        <w:sectPr>
          <w:pgSz w:w="11900" w:h="16838" w:orient="portrait"/>
          <w:cols w:equalWidth="0" w:num="1">
            <w:col w:w="11020"/>
          </w:cols>
          <w:pgMar w:left="440" w:top="265" w:right="4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preceding RFR Business Day for which such SONIA was published on the SONIA Administrator’s Website; provided further that SONIA as determined pursuant to this proviso shall be utilized for purposes of calculation of Adjusted Daily Simple RFR for no more than three (3) consecutive RFR Rate Days and (ii) zero.</w:t>
      </w:r>
    </w:p>
    <w:p>
      <w:pPr>
        <w:spacing w:after="0" w:line="17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Any change in Adjusted Daily Simple RFR due to a change in the applicable RFR shall be effective from and including the effective date of such change in the RFR without notice to the Borrower.</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u w:val="single" w:color="auto"/>
          <w:color w:val="0000FF"/>
        </w:rPr>
        <w:t>“Adjusted Term SOFR” means, for purposes of any calculation, the rate per annum equal to (a) Term SOFR for such calculation plus (b) the Term SOFR Adjustment; provided that if Adjusted Term SOFR as so determined shall ever be less than zero, then Adjusted Term SOFR shall be deemed to be zero.</w:t>
      </w:r>
    </w:p>
    <w:p>
      <w:pPr>
        <w:spacing w:after="0" w:line="174"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means Citibank, N.A., in its capacity as administrative agent for the Lenders hereunder, and its successors in such capacity as provided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771"/>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Administrative Agent’s Office</w:t>
      </w:r>
      <w:r>
        <w:rPr>
          <w:rFonts w:ascii="Times New Roman" w:cs="Times New Roman" w:eastAsia="Times New Roman" w:hAnsi="Times New Roman"/>
          <w:sz w:val="19"/>
          <w:szCs w:val="19"/>
          <w:color w:val="auto"/>
        </w:rPr>
        <w:t xml:space="preserve">” means the Administrative Agent’s address and, as appropriate, account as set forth on </w:t>
      </w:r>
      <w:r>
        <w:rPr>
          <w:rFonts w:ascii="Times New Roman" w:cs="Times New Roman" w:eastAsia="Times New Roman" w:hAnsi="Times New Roman"/>
          <w:sz w:val="19"/>
          <w:szCs w:val="19"/>
          <w:u w:val="single" w:color="auto"/>
          <w:color w:val="auto"/>
        </w:rPr>
        <w:t>Schedule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9.01</w:t>
      </w:r>
      <w:r>
        <w:rPr>
          <w:rFonts w:ascii="Times New Roman" w:cs="Times New Roman" w:eastAsia="Times New Roman" w:hAnsi="Times New Roman"/>
          <w:sz w:val="19"/>
          <w:szCs w:val="19"/>
          <w:color w:val="auto"/>
        </w:rPr>
        <w:t>, or such other address or account as the Administrative Agent may from time to time notify to the Borrower and the Lenders.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assigned to such term by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and each other currency (other than Dollars) that is approved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80"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“Amendment No. 1” means that certain Amendment No. 1, dated as of November 7, 2019, among the Borrower and the Lenders party thereto.</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“Amendment No. 2” means that certain Amendment No. 2, dated as of March 31, 2023, among the Borrower and the Administrative Agent.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020"/>
          </w:cols>
          <w:pgMar w:left="440" w:top="265" w:right="439" w:bottom="1440" w:gutter="0" w:footer="0" w:header="0"/>
        </w:sectPr>
      </w:pPr>
    </w:p>
    <w:bookmarkStart w:id="15" w:name="page16"/>
    <w:bookmarkEnd w:id="15"/>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the Foreign Corrupt Practices Act of 1977 (as amended), the UK Bribery Act 2010, and other anti-corruption or anti-bribery laws and regulations applicable to the Borrower or its Subsidiaries from time to time.</w:t>
      </w:r>
    </w:p>
    <w:p>
      <w:pPr>
        <w:spacing w:after="0" w:line="159"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 at any time with respect to any Revolving Lender, the percentage, rounded to the ninth decimal place, of the aggregate Revolving Commitments represented by such Revolving Lender’s Revolving Commitment at such time. If the Revolving Commitments have terminated or expired, the Applicable Percentages shall be determined based upon the Revolving Commitments most recently in effect, giving effect to any assignments of Revolving Loans and LC Exposures that occur after such termination or expiration.</w:t>
      </w:r>
    </w:p>
    <w:p>
      <w:pPr>
        <w:spacing w:after="0" w:line="185"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a percentage per annum equal to (i) in the case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Loans</w:t>
      </w:r>
      <w:r>
        <w:rPr>
          <w:rFonts w:ascii="Times New Roman" w:cs="Times New Roman" w:eastAsia="Times New Roman" w:hAnsi="Times New Roman"/>
          <w:sz w:val="20"/>
          <w:szCs w:val="20"/>
          <w:u w:val="single" w:color="auto"/>
          <w:color w:val="0000FF"/>
        </w:rPr>
        <w:t>, EURIBOR Rate Loans</w:t>
      </w:r>
      <w:r>
        <w:rPr>
          <w:rFonts w:ascii="Times New Roman" w:cs="Times New Roman" w:eastAsia="Times New Roman" w:hAnsi="Times New Roman"/>
          <w:sz w:val="20"/>
          <w:szCs w:val="20"/>
          <w:color w:val="auto"/>
        </w:rPr>
        <w:t xml:space="preserve"> and Letter of Credit fees, 1.75%, and (ii) in the case of ABR Loans, 0.75%.</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Requirements</w:t>
      </w:r>
      <w:r>
        <w:rPr>
          <w:rFonts w:ascii="Times New Roman" w:cs="Times New Roman" w:eastAsia="Times New Roman" w:hAnsi="Times New Roman"/>
          <w:sz w:val="20"/>
          <w:szCs w:val="20"/>
          <w:color w:val="auto"/>
        </w:rPr>
        <w:t>” means, in respect of any Indebtedness, that such Indebtedness satisfies the following requirements:</w:t>
      </w:r>
    </w:p>
    <w:p>
      <w:pPr>
        <w:spacing w:after="0" w:line="216" w:lineRule="exact"/>
        <w:rPr>
          <w:sz w:val="20"/>
          <w:szCs w:val="20"/>
          <w:color w:val="auto"/>
        </w:rPr>
      </w:pPr>
    </w:p>
    <w:p>
      <w:pPr>
        <w:jc w:val="both"/>
        <w:ind w:left="760" w:firstLine="724"/>
        <w:spacing w:after="0" w:line="245" w:lineRule="auto"/>
        <w:tabs>
          <w:tab w:leader="none" w:pos="175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customary “bridge” facilities, so long as the long-term Indebtedness into which such customary “bridge” facility is to be converted or exchanged satisfies the requirements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such conversion or exchange is subject only to conditions customary for similar conversions or exchanges, (i) if such Indebtedness is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Obligations, such Indebtedness does not mature prior to the Maturity Date and (ii) if such Indebtedness is unsecured or secured on a junior-lien basis to the Obligations, such Indebtedness does not mature prior to the date that is 91 days after the Maturity Date;</w:t>
      </w:r>
    </w:p>
    <w:p>
      <w:pPr>
        <w:spacing w:after="0" w:line="18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Indebtedness is secured by the Collateral, a Senior Representative acting on behalf of the holders of such Indebtedness has become party to an Intercreditor Agreement;</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Indebtedness is secured, it is not secured by any property or assets other than the Collateral (it being agreed that such Indebtedness shall not be required to be secured by all of the Collateral);</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not be guaranteed by any Person other than any Loan Party and shall not have any obligors other than any Loan Party; and</w:t>
      </w:r>
    </w:p>
    <w:p>
      <w:pPr>
        <w:spacing w:after="0" w:line="159" w:lineRule="exact"/>
        <w:rPr>
          <w:rFonts w:ascii="Times New Roman" w:cs="Times New Roman" w:eastAsia="Times New Roman" w:hAnsi="Times New Roman"/>
          <w:sz w:val="20"/>
          <w:szCs w:val="20"/>
          <w:color w:val="auto"/>
        </w:rPr>
      </w:pPr>
    </w:p>
    <w:p>
      <w:pPr>
        <w:jc w:val="both"/>
        <w:ind w:left="760" w:firstLine="724"/>
        <w:spacing w:after="0" w:line="245" w:lineRule="auto"/>
        <w:tabs>
          <w:tab w:leader="none" w:pos="178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covenants and events of defaults in the definitive documentation for such Indebtedness (excluding pricing, optional prepayment and optional redemption provisions) are (i) substantially identical to, or not materially less favorable (when taken as a whole) to the Borrower and its Restricted Subsidiaries than, those set forth in the Loan Documents or (ii) on customary terms for notes issuances at the time of incurrence, except, in each case, for covenants or events of default contained in such Indebtedness that are applicable only after the Maturity Date or that are also added to this Agreement for the benefit of the Lenders, which amendment shall only require the consent of the Borrower and the Administrative Agent;</w:t>
      </w:r>
    </w:p>
    <w:p>
      <w:pPr>
        <w:spacing w:after="0" w:line="18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at the option of the Borrower in its sole discretion, a certificate of a Responsible Officer of the Borrower delivered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Administrative Agent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requirements of this definition, shall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020"/>
          </w:cols>
          <w:pgMar w:left="440" w:top="265" w:right="439" w:bottom="1440" w:gutter="0" w:footer="0" w:header="0"/>
        </w:sectPr>
      </w:pPr>
    </w:p>
    <w:bookmarkStart w:id="16" w:name="page17"/>
    <w:bookmarkEnd w:id="16"/>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conclusive evidence that such terms and conditions satisfy the requirements of this definition unless the Administrative Agent notifies the Borrower within such five Business Day period that it disagrees with such determination (including a reasonable description of the basis upon which it disagrees).</w:t>
      </w:r>
    </w:p>
    <w:p>
      <w:pPr>
        <w:spacing w:after="0" w:line="174" w:lineRule="exact"/>
        <w:rPr>
          <w:sz w:val="20"/>
          <w:szCs w:val="20"/>
          <w:color w:val="auto"/>
        </w:rPr>
      </w:pPr>
    </w:p>
    <w:p>
      <w:pPr>
        <w:jc w:val="both"/>
        <w:ind w:left="4" w:firstLine="77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Counterparty</w:t>
      </w:r>
      <w:r>
        <w:rPr>
          <w:rFonts w:ascii="Times New Roman" w:cs="Times New Roman" w:eastAsia="Times New Roman" w:hAnsi="Times New Roman"/>
          <w:sz w:val="20"/>
          <w:szCs w:val="20"/>
          <w:color w:val="auto"/>
        </w:rPr>
        <w:t>” means (i) the Administrative Agent, the Collateral Agent, any Arranger any Lender or any Affiliate thereof (a) at the time it entered into a Swap Contract or a Treasury Services Agreement, as applicable, in its capacity as a party thereto,</w:t>
      </w:r>
    </w:p>
    <w:p>
      <w:pPr>
        <w:spacing w:after="0" w:line="2" w:lineRule="exact"/>
        <w:rPr>
          <w:sz w:val="20"/>
          <w:szCs w:val="20"/>
          <w:color w:val="auto"/>
        </w:rPr>
      </w:pPr>
    </w:p>
    <w:p>
      <w:pPr>
        <w:jc w:val="both"/>
        <w:ind w:left="4" w:right="20" w:hanging="4"/>
        <w:spacing w:after="0" w:line="252" w:lineRule="auto"/>
        <w:tabs>
          <w:tab w:leader="none" w:pos="31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a Swap Contract or a Treasury Services Agreement in effect as of the Closing Date, as of the Closing Date, as applicable, in its capacity as a party thereto, and in the case of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notwithstanding whether such Approved Counterparty may cease to be the Administrative Agent, the Collateral Agent, an Arranger, a Lender or an Affiliate thereof thereafter, as applicable, and</w:t>
      </w:r>
    </w:p>
    <w:p>
      <w:pPr>
        <w:ind w:left="4" w:right="20" w:hanging="4"/>
        <w:spacing w:after="0" w:line="246" w:lineRule="auto"/>
        <w:tabs>
          <w:tab w:leader="none" w:pos="31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Person from time to time approved in writing by the Administrative Agent (not to be unreasonably withheld, delayed or conditioned).</w:t>
      </w:r>
    </w:p>
    <w:p>
      <w:pPr>
        <w:spacing w:after="0" w:line="182"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Citigroup Global Markets Inc., JPMorgan Chase Bank, N.A., Morgan Stanley Senior Funding, Inc. and Goldman Sachs Bank USA, each in its capacity as a joint lead arranger for the Revolving Facility.</w:t>
      </w:r>
    </w:p>
    <w:p>
      <w:pPr>
        <w:spacing w:after="0" w:line="159" w:lineRule="exact"/>
        <w:rPr>
          <w:sz w:val="20"/>
          <w:szCs w:val="20"/>
          <w:color w:val="auto"/>
        </w:rPr>
      </w:pPr>
    </w:p>
    <w:p>
      <w:pPr>
        <w:jc w:val="both"/>
        <w:ind w:left="4"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w:t>
      </w:r>
    </w:p>
    <w:p>
      <w:pPr>
        <w:spacing w:after="0" w:line="17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Auto-Renewal Letter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EEA Resolution Authority in respect of any liability of an EEA Financial Institution.</w:t>
      </w:r>
    </w:p>
    <w:p>
      <w:pPr>
        <w:spacing w:after="0" w:line="159" w:lineRule="exact"/>
        <w:rPr>
          <w:sz w:val="20"/>
          <w:szCs w:val="20"/>
          <w:color w:val="auto"/>
        </w:rPr>
      </w:pPr>
    </w:p>
    <w:p>
      <w:pPr>
        <w:jc w:val="both"/>
        <w:ind w:left="4"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0" w:lineRule="exact"/>
        <w:rPr>
          <w:sz w:val="20"/>
          <w:szCs w:val="20"/>
          <w:color w:val="auto"/>
        </w:rPr>
      </w:pPr>
    </w:p>
    <w:p>
      <w:pPr>
        <w:jc w:val="both"/>
        <w:ind w:left="4" w:firstLine="771"/>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Base Rate</w:t>
      </w:r>
      <w:r>
        <w:rPr>
          <w:rFonts w:ascii="Times New Roman" w:cs="Times New Roman" w:eastAsia="Times New Roman" w:hAnsi="Times New Roman"/>
          <w:sz w:val="19"/>
          <w:szCs w:val="19"/>
          <w:color w:val="auto"/>
        </w:rPr>
        <w:t xml:space="preserve">” means, for any day, a fluctuating rate per annum equal to the highest of (a) the Federal Funds Rate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5"/>
          <w:szCs w:val="15"/>
          <w:color w:val="auto"/>
        </w:rPr>
        <w:t>1</w:t>
      </w: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9"/>
          <w:szCs w:val="19"/>
          <w:color w:val="auto"/>
        </w:rPr>
        <w:t xml:space="preserve"> of 1.00%, (b) </w:t>
      </w:r>
      <w:r>
        <w:rPr>
          <w:rFonts w:ascii="Times New Roman" w:cs="Times New Roman" w:eastAsia="Times New Roman" w:hAnsi="Times New Roman"/>
          <w:sz w:val="19"/>
          <w:szCs w:val="19"/>
          <w:color w:val="FF0000"/>
          <w:strike w:val="1"/>
        </w:rPr>
        <w:t>the Eurocurrency Rate</w:t>
      </w:r>
      <w:r>
        <w:rPr>
          <w:rFonts w:ascii="Times New Roman" w:cs="Times New Roman" w:eastAsia="Times New Roman" w:hAnsi="Times New Roman"/>
          <w:sz w:val="19"/>
          <w:szCs w:val="19"/>
          <w:u w:val="single" w:color="auto"/>
          <w:color w:val="0000FF"/>
        </w:rPr>
        <w:t>Adjusted Term SOFR for a one-month tenor in effect on such day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1.00% and (c) the rate of interest in effect for such day as publicly announced from time to time by the Administrative Agent as its “prime rate” in effect at its principal office in New York City;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that the Base Rate shall not be less than 1.00% per annum. Any change in such prime rate announced by the Administrative Agent shall take effect at the opening of business on the day specified in the public announcement of such change.</w:t>
      </w:r>
    </w:p>
    <w:p>
      <w:pPr>
        <w:spacing w:after="0" w:line="166" w:lineRule="exact"/>
        <w:rPr>
          <w:sz w:val="20"/>
          <w:szCs w:val="20"/>
          <w:color w:val="auto"/>
        </w:rPr>
      </w:pPr>
    </w:p>
    <w:p>
      <w:pPr>
        <w:jc w:val="both"/>
        <w:ind w:left="4" w:firstLine="771"/>
        <w:spacing w:after="0" w:line="249" w:lineRule="auto"/>
        <w:rPr>
          <w:sz w:val="20"/>
          <w:szCs w:val="20"/>
          <w:color w:val="auto"/>
        </w:rPr>
      </w:pPr>
      <w:r>
        <w:rPr>
          <w:rFonts w:ascii="Times New Roman" w:cs="Times New Roman" w:eastAsia="Times New Roman" w:hAnsi="Times New Roman"/>
          <w:sz w:val="20"/>
          <w:szCs w:val="20"/>
          <w:u w:val="single" w:color="auto"/>
          <w:color w:val="0000FF"/>
        </w:rPr>
        <w:t>“Benchmark” means, initially, with respect to any (a) Obligations, interest, fees, commissions or other amounts denominated in, or calculated with respect to, Dollars, the Term SOFR Reference Rate, (b) Obligations, interest, fees, commissions or other amounts denominated in, or calculated with respect to, Sterling, the Adjusted Daily Simple RFR and (c) Obligations, interest, fees, commissions or other amounts denominated in, or calculated with respect to, Euros, EURIBOR.</w:t>
      </w:r>
    </w:p>
    <w:p>
      <w:pPr>
        <w:spacing w:after="0" w:line="180"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individual beneficial ownership required for any Borrower that qualifies as a “legal entity customer” under the Beneficial Ownership Regulation.</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024"/>
          </w:cols>
          <w:pgMar w:left="436" w:top="265" w:right="43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right="20" w:firstLine="771"/>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6" w:lineRule="exact"/>
        <w:rPr>
          <w:sz w:val="20"/>
          <w:szCs w:val="20"/>
          <w:color w:val="auto"/>
        </w:rPr>
      </w:pPr>
    </w:p>
    <w:p>
      <w:pPr>
        <w:jc w:val="both"/>
        <w:ind w:right="20" w:firstLine="771"/>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Blackstone Funds</w:t>
      </w:r>
      <w:r>
        <w:rPr>
          <w:rFonts w:ascii="Times New Roman" w:cs="Times New Roman" w:eastAsia="Times New Roman" w:hAnsi="Times New Roman"/>
          <w:sz w:val="19"/>
          <w:szCs w:val="19"/>
          <w:color w:val="auto"/>
        </w:rPr>
        <w:t>” means, individually or collectively, any investment fund, co-investment vehicles and/or other similar vehicles or accounts, in each case managed or advised by an Affiliate of The Blackstone Group L.P., or any of their respective successors.</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Bona Fide Debt Fund</w:t>
      </w:r>
      <w:r>
        <w:rPr>
          <w:rFonts w:ascii="Times New Roman" w:cs="Times New Roman" w:eastAsia="Times New Roman" w:hAnsi="Times New Roman"/>
          <w:sz w:val="20"/>
          <w:szCs w:val="20"/>
          <w:color w:val="auto"/>
        </w:rPr>
        <w:t>” means any fund or investment vehicle that is primarily engaged in the making, purchasing, holding or otherwise investing in commercial loans, bonds and other similar extensions of credit in the ordinary course.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Borrowing or a Swing Line Borrowing, as the context may require.</w:t>
      </w:r>
    </w:p>
    <w:p>
      <w:pPr>
        <w:spacing w:after="0" w:line="216"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which, if in writing, shall be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may be approved by the Administrative Agent or the Swing Line Lender, as applicable (including any form on an electronic platform or electronic transmission system as shall be approved by the Administrative Agent or the Swing Line Lender, as applicable), appropriately completed and signed by a Responsible Officer of the Borrower.</w:t>
      </w:r>
    </w:p>
    <w:p>
      <w:pPr>
        <w:spacing w:after="0" w:line="180" w:lineRule="exact"/>
        <w:rPr>
          <w:sz w:val="20"/>
          <w:szCs w:val="20"/>
          <w:color w:val="auto"/>
        </w:rPr>
      </w:pPr>
    </w:p>
    <w:p>
      <w:pPr>
        <w:jc w:val="both"/>
        <w:ind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Broker-Dealer Subsidiary</w:t>
      </w:r>
      <w:r>
        <w:rPr>
          <w:rFonts w:ascii="Times New Roman" w:cs="Times New Roman" w:eastAsia="Times New Roman" w:hAnsi="Times New Roman"/>
          <w:sz w:val="20"/>
          <w:szCs w:val="20"/>
          <w:color w:val="auto"/>
        </w:rPr>
        <w:t>” means any Subsidiary that is registered as a broker-dealer pursuant to Section 15 of the Exchange Act (as in effect from time to time) or that is regulated as a broker-dealer or underwriter under any foreign securities law (including Dealerweb Inc., Tradeweb L.L.C. and Tradeweb Direct LLC).</w:t>
      </w:r>
    </w:p>
    <w:p>
      <w:pPr>
        <w:spacing w:after="0" w:line="174" w:lineRule="exact"/>
        <w:rPr>
          <w:sz w:val="20"/>
          <w:szCs w:val="20"/>
          <w:color w:val="auto"/>
        </w:rPr>
      </w:pPr>
    </w:p>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0000FF"/>
        </w:rPr>
        <w:t>Business Day</w:t>
      </w:r>
      <w:r>
        <w:rPr>
          <w:rFonts w:ascii="Times New Roman" w:cs="Times New Roman" w:eastAsia="Times New Roman" w:hAnsi="Times New Roman"/>
          <w:sz w:val="20"/>
          <w:szCs w:val="20"/>
          <w:color w:val="auto"/>
        </w:rPr>
        <w:t xml:space="preserve">” means any day </w:t>
      </w:r>
      <w:r>
        <w:rPr>
          <w:rFonts w:ascii="Times New Roman" w:cs="Times New Roman" w:eastAsia="Times New Roman" w:hAnsi="Times New Roman"/>
          <w:sz w:val="20"/>
          <w:szCs w:val="20"/>
          <w:color w:val="FF0000"/>
          <w:strike w:val="1"/>
        </w:rPr>
        <w:t>other than</w:t>
      </w:r>
      <w:r>
        <w:rPr>
          <w:rFonts w:ascii="Times New Roman" w:cs="Times New Roman" w:eastAsia="Times New Roman" w:hAnsi="Times New Roman"/>
          <w:sz w:val="20"/>
          <w:szCs w:val="20"/>
          <w:u w:val="single" w:color="auto"/>
          <w:color w:val="0000FF"/>
        </w:rPr>
        <w:t>that is not</w:t>
      </w:r>
      <w:r>
        <w:rPr>
          <w:rFonts w:ascii="Times New Roman" w:cs="Times New Roman" w:eastAsia="Times New Roman" w:hAnsi="Times New Roman"/>
          <w:sz w:val="20"/>
          <w:szCs w:val="20"/>
          <w:color w:val="auto"/>
        </w:rPr>
        <w:t xml:space="preserve"> a Saturday, Sunday</w:t>
      </w:r>
      <w:r>
        <w:rPr>
          <w:rFonts w:ascii="Times New Roman" w:cs="Times New Roman" w:eastAsia="Times New Roman" w:hAnsi="Times New Roman"/>
          <w:sz w:val="20"/>
          <w:szCs w:val="20"/>
          <w:color w:val="FF0000"/>
          <w:strike w:val="1"/>
        </w:rPr>
        <w:t>, or other day on which commercial banks are authorized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 xml:space="preserve">to close under the laws, rules, regulations, ordinances, codes or administrative or judicial authorities of, or in fact are closed in, New York City and: </w:t>
      </w:r>
      <w:r>
        <w:rPr>
          <w:rFonts w:ascii="Times New Roman" w:cs="Times New Roman" w:eastAsia="Times New Roman" w:hAnsi="Times New Roman"/>
          <w:sz w:val="20"/>
          <w:szCs w:val="20"/>
          <w:color w:val="0000FF"/>
          <w:strike w:val="1"/>
        </w:rPr>
        <w:t>or other day that is a legal holiday under the laws of the State of New York or is a day on which banking institutions in such state</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 xml:space="preserve">are authorized or required by law to close; </w:t>
      </w:r>
      <w:r>
        <w:rPr>
          <w:rFonts w:ascii="Times New Roman" w:cs="Times New Roman" w:eastAsia="Times New Roman" w:hAnsi="Times New Roman"/>
          <w:sz w:val="20"/>
          <w:szCs w:val="20"/>
          <w:i w:val="1"/>
          <w:iCs w:val="1"/>
          <w:u w:val="single" w:color="auto"/>
          <w:color w:val="0000FF"/>
          <w:strike w:val="1"/>
        </w:rPr>
        <w:t>provided</w:t>
      </w:r>
      <w:r>
        <w:rPr>
          <w:rFonts w:ascii="Times New Roman" w:cs="Times New Roman" w:eastAsia="Times New Roman" w:hAnsi="Times New Roman"/>
          <w:sz w:val="20"/>
          <w:szCs w:val="20"/>
          <w:u w:val="single" w:color="auto"/>
          <w:color w:val="0000FF"/>
          <w:strike w:val="1"/>
        </w:rPr>
        <w:t xml:space="preserve"> that if such day relates to any interest rate settings as to a Loan, any fundings, disbursements, settlements and payments in respect of any such Loan, the term “Business Day” shall also exclude any day which is not an RFR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-433705</wp:posOffset>
            </wp:positionV>
            <wp:extent cx="65322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-467995</wp:posOffset>
            </wp:positionV>
            <wp:extent cx="65278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27800" cy="8255"/>
                    </a:xfrm>
                    <a:prstGeom prst="rect">
                      <a:avLst/>
                    </a:prstGeom>
                    <a:noFill/>
                  </pic:spPr>
                </pic:pic>
              </a:graphicData>
            </a:graphic>
          </wp:anchor>
        </w:drawing>
      </w:r>
    </w:p>
    <w:p>
      <w:pPr>
        <w:spacing w:after="0" w:line="164" w:lineRule="exact"/>
        <w:rPr>
          <w:sz w:val="20"/>
          <w:szCs w:val="20"/>
          <w:color w:val="auto"/>
        </w:rPr>
      </w:pPr>
    </w:p>
    <w:p>
      <w:pPr>
        <w:jc w:val="both"/>
        <w:ind w:left="760" w:firstLine="724"/>
        <w:spacing w:after="0" w:line="254" w:lineRule="auto"/>
        <w:tabs>
          <w:tab w:leader="none" w:pos="1769" w:val="left"/>
        </w:tabs>
        <w:numPr>
          <w:ilvl w:val="0"/>
          <w:numId w:val="10"/>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020"/>
          </w:cols>
          <w:pgMar w:left="440" w:top="265" w:right="439" w:bottom="1440" w:gutter="0" w:footer="0" w:header="0"/>
        </w:sectPr>
      </w:pPr>
    </w:p>
    <w:bookmarkStart w:id="18" w:name="page19"/>
    <w:bookmarkEnd w:id="18"/>
    <w:p>
      <w:pPr>
        <w:ind w:left="760"/>
        <w:spacing w:after="0"/>
        <w:rPr>
          <w:sz w:val="20"/>
          <w:szCs w:val="20"/>
          <w:color w:val="auto"/>
        </w:rPr>
      </w:pPr>
      <w:r>
        <w:rPr>
          <w:rFonts w:ascii="Times New Roman" w:cs="Times New Roman" w:eastAsia="Times New Roman" w:hAnsi="Times New Roman"/>
          <w:sz w:val="20"/>
          <w:szCs w:val="20"/>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dealings in deposits in Dollars are conducted by and between banks in the London interbank eurodollar market;</w:t>
      </w:r>
    </w:p>
    <w:p>
      <w:pPr>
        <w:spacing w:after="0" w:line="216" w:lineRule="exact"/>
        <w:rPr>
          <w:sz w:val="20"/>
          <w:szCs w:val="20"/>
          <w:color w:val="auto"/>
        </w:rPr>
      </w:pPr>
    </w:p>
    <w:p>
      <w:pPr>
        <w:jc w:val="both"/>
        <w:ind w:left="760" w:firstLine="724"/>
        <w:spacing w:after="0" w:line="254" w:lineRule="auto"/>
        <w:tabs>
          <w:tab w:leader="none" w:pos="1790" w:val="left"/>
        </w:tabs>
        <w:numPr>
          <w:ilvl w:val="0"/>
          <w:numId w:val="1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174" w:lineRule="exact"/>
        <w:rPr>
          <w:rFonts w:ascii="Times New Roman" w:cs="Times New Roman" w:eastAsia="Times New Roman" w:hAnsi="Times New Roman"/>
          <w:sz w:val="20"/>
          <w:szCs w:val="20"/>
          <w:color w:val="FF0000"/>
          <w:strike w:val="1"/>
        </w:rPr>
      </w:pPr>
    </w:p>
    <w:p>
      <w:pPr>
        <w:jc w:val="both"/>
        <w:ind w:left="760" w:right="20" w:firstLine="724"/>
        <w:spacing w:after="0" w:line="254" w:lineRule="auto"/>
        <w:tabs>
          <w:tab w:leader="none" w:pos="1772" w:val="left"/>
        </w:tabs>
        <w:numPr>
          <w:ilvl w:val="0"/>
          <w:numId w:val="1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174" w:lineRule="exact"/>
        <w:rPr>
          <w:rFonts w:ascii="Times New Roman" w:cs="Times New Roman" w:eastAsia="Times New Roman" w:hAnsi="Times New Roman"/>
          <w:sz w:val="20"/>
          <w:szCs w:val="20"/>
          <w:color w:val="FF0000"/>
          <w:strike w:val="1"/>
        </w:rPr>
      </w:pPr>
    </w:p>
    <w:p>
      <w:pPr>
        <w:jc w:val="both"/>
        <w:ind w:left="760" w:right="20" w:firstLine="724"/>
        <w:spacing w:after="0" w:line="246" w:lineRule="auto"/>
        <w:tabs>
          <w:tab w:leader="none" w:pos="1779" w:val="left"/>
        </w:tabs>
        <w:numPr>
          <w:ilvl w:val="0"/>
          <w:numId w:val="1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85"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Notwithstanding anything to the contrary in this Agreement, for purposes of calculations made pursuant to the terms of this Agreement, and otherwise determining what constitutes Indebtedness hereunder, no effect shall be given to FASB ASC 842 (or any other Accounting Standards Codification having a similar result or effect) (and related interpretations)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FASB ASC 842.</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Equivalents</w:t>
      </w:r>
      <w:r>
        <w:rPr>
          <w:rFonts w:ascii="Times New Roman" w:cs="Times New Roman" w:eastAsia="Times New Roman" w:hAnsi="Times New Roman"/>
          <w:sz w:val="20"/>
          <w:szCs w:val="20"/>
          <w:color w:val="auto"/>
        </w:rPr>
        <w:t>” means any of the following types of Investments, to the extent owned by the Borrower or any Restricted Subsidiary:</w:t>
      </w:r>
    </w:p>
    <w:p>
      <w:pPr>
        <w:spacing w:after="0" w:line="159" w:lineRule="exact"/>
        <w:rPr>
          <w:sz w:val="20"/>
          <w:szCs w:val="20"/>
          <w:color w:val="auto"/>
        </w:rPr>
      </w:pPr>
    </w:p>
    <w:p>
      <w:pPr>
        <w:ind w:left="1760" w:hanging="276"/>
        <w:spacing w:after="0"/>
        <w:tabs>
          <w:tab w:leader="none" w:pos="17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dollars;</w:t>
      </w:r>
    </w:p>
    <w:p>
      <w:pPr>
        <w:spacing w:after="0" w:line="215"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cash in such local currencies held by the Borrower or any Restricted Subsidiary from time to time in the ordinary course of business or consistent with past practice, (ii) Canadian Dollars or (iii) Sterling, euros or any national currency of any participating member state of the Economic and Monetary Union (EMU);</w:t>
      </w:r>
    </w:p>
    <w:p>
      <w:pPr>
        <w:spacing w:after="0" w:line="17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3"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or insured by the U.S. government or any agency or instrumentality thereof the securities of which are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020"/>
          </w:cols>
          <w:pgMar w:left="440" w:top="265" w:right="439" w:bottom="1440" w:gutter="0" w:footer="0" w:header="0"/>
        </w:sectPr>
      </w:pPr>
    </w:p>
    <w:bookmarkStart w:id="19" w:name="page20"/>
    <w:bookmarkEnd w:id="19"/>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unconditionally guaranteed as a full faith and credit obligation of such government with maturities of 24 months or less from the date of acquisition,</w:t>
      </w:r>
    </w:p>
    <w:p>
      <w:pPr>
        <w:spacing w:after="0" w:line="159" w:lineRule="exact"/>
        <w:rPr>
          <w:sz w:val="20"/>
          <w:szCs w:val="20"/>
          <w:color w:val="auto"/>
        </w:rPr>
      </w:pPr>
    </w:p>
    <w:p>
      <w:pPr>
        <w:jc w:val="both"/>
        <w:ind w:firstLine="724"/>
        <w:spacing w:after="0" w:line="246" w:lineRule="auto"/>
        <w:tabs>
          <w:tab w:leader="none" w:pos="10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24 months or less from the date of acquisition, demand deposits, bankers’ acceptances with maturities not exceeding 24 months and overnight bank deposits, in each case with any domestic or foreign commercial bank having capital and surplus of not less than $250,000,000 in the case of U.S. banks and $100,000,000 (or the dollar equivalent thereof in foreign currencies as of the date of determination) in the case of non-U.S. banks;</w:t>
      </w:r>
    </w:p>
    <w:p>
      <w:pPr>
        <w:spacing w:after="0" w:line="184" w:lineRule="exact"/>
        <w:rPr>
          <w:rFonts w:ascii="Times New Roman" w:cs="Times New Roman" w:eastAsia="Times New Roman" w:hAnsi="Times New Roman"/>
          <w:sz w:val="20"/>
          <w:szCs w:val="20"/>
          <w:color w:val="auto"/>
        </w:rPr>
      </w:pPr>
    </w:p>
    <w:p>
      <w:pPr>
        <w:ind w:right="20" w:firstLine="724"/>
        <w:spacing w:after="0" w:line="269" w:lineRule="auto"/>
        <w:tabs>
          <w:tab w:leader="none" w:pos="100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obligations for underlying securities of the types described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entered into with any financial institution or recognized securities dealer meeting the qualifications specified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jc w:val="both"/>
        <w:ind w:right="20" w:firstLine="724"/>
        <w:spacing w:after="0" w:line="254" w:lineRule="auto"/>
        <w:tabs>
          <w:tab w:leader="none" w:pos="97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variable or fixed rate notes rated at least P-2 by Moody’s, at least A-2 by S&amp;P or at least F-2 by Fitch (or, if at any time none of Moody’s, S&amp;P or Fitch shall be rating such obligations, an equivalent rating from another nationally recognized statistical Rating Agency) and in each case maturing within 24 months after the date of creation thereof;</w:t>
      </w:r>
    </w:p>
    <w:p>
      <w:pPr>
        <w:spacing w:after="0" w:line="174" w:lineRule="exact"/>
        <w:rPr>
          <w:rFonts w:ascii="Times New Roman" w:cs="Times New Roman" w:eastAsia="Times New Roman" w:hAnsi="Times New Roman"/>
          <w:sz w:val="20"/>
          <w:szCs w:val="20"/>
          <w:color w:val="auto"/>
        </w:rPr>
      </w:pPr>
    </w:p>
    <w:p>
      <w:pPr>
        <w:jc w:val="both"/>
        <w:ind w:right="20" w:firstLine="724"/>
        <w:spacing w:after="0" w:line="254" w:lineRule="auto"/>
        <w:tabs>
          <w:tab w:leader="none" w:pos="1017"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funds having a rating of at least P-2, A2 or F-2 from Moody’s, S&amp;P or Fitch, respectively (or, if at any time none of Moody’s, S&amp;P or Fitch shall be rating such obligations, an equivalent rating from another nationally recognized statistical Rating Agency);</w:t>
      </w:r>
    </w:p>
    <w:p>
      <w:pPr>
        <w:spacing w:after="0" w:line="174" w:lineRule="exact"/>
        <w:rPr>
          <w:rFonts w:ascii="Times New Roman" w:cs="Times New Roman" w:eastAsia="Times New Roman" w:hAnsi="Times New Roman"/>
          <w:sz w:val="20"/>
          <w:szCs w:val="20"/>
          <w:color w:val="auto"/>
        </w:rPr>
      </w:pPr>
    </w:p>
    <w:p>
      <w:pPr>
        <w:jc w:val="both"/>
        <w:ind w:firstLine="724"/>
        <w:spacing w:after="0" w:line="246" w:lineRule="auto"/>
        <w:tabs>
          <w:tab w:leader="none" w:pos="1035"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or unconditionally guaranteed by, any state, commonwealth or territory of the United States or any political subdivision or taxing authority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84" w:lineRule="exact"/>
        <w:rPr>
          <w:rFonts w:ascii="Times New Roman" w:cs="Times New Roman" w:eastAsia="Times New Roman" w:hAnsi="Times New Roman"/>
          <w:sz w:val="20"/>
          <w:szCs w:val="20"/>
          <w:color w:val="auto"/>
        </w:rPr>
      </w:pPr>
    </w:p>
    <w:p>
      <w:pPr>
        <w:jc w:val="both"/>
        <w:ind w:firstLine="724"/>
        <w:spacing w:after="0" w:line="249" w:lineRule="auto"/>
        <w:tabs>
          <w:tab w:leader="none" w:pos="99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any foreign government or any political subdivision or public instrumentality thereof, in each case having an investment grade rating from either Moody’s, S&amp;P or Fitch (or, if at any time none of Moody’s, S&amp;P or Fitch shall be rating such obligations, an equivalent rating from another nationally recognized statistical Rating Agency) with maturities of 24 months or less from the date of acquisition;</w:t>
      </w:r>
    </w:p>
    <w:p>
      <w:pPr>
        <w:spacing w:after="0" w:line="179" w:lineRule="exact"/>
        <w:rPr>
          <w:rFonts w:ascii="Times New Roman" w:cs="Times New Roman" w:eastAsia="Times New Roman" w:hAnsi="Times New Roman"/>
          <w:sz w:val="20"/>
          <w:szCs w:val="20"/>
          <w:color w:val="auto"/>
        </w:rPr>
      </w:pPr>
    </w:p>
    <w:p>
      <w:pPr>
        <w:jc w:val="both"/>
        <w:ind w:right="20" w:firstLine="724"/>
        <w:spacing w:after="0" w:line="249" w:lineRule="auto"/>
        <w:tabs>
          <w:tab w:leader="none" w:pos="95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24 months or less from the date of acquisition in money market funds rated A (or the equivalent thereof) or better by S&amp;P, A-2 (or the equivalent thereof) or better by Moody’s or F-2 by Fitch (or, if at any time none of Moody’s, S&amp;P or Fitch shall be rating such obligations, an equivalent rating from another nationally recognized statistical Rating Agency);</w:t>
      </w:r>
    </w:p>
    <w:p>
      <w:pPr>
        <w:spacing w:after="0" w:line="179" w:lineRule="exact"/>
        <w:rPr>
          <w:rFonts w:ascii="Times New Roman" w:cs="Times New Roman" w:eastAsia="Times New Roman" w:hAnsi="Times New Roman"/>
          <w:sz w:val="20"/>
          <w:szCs w:val="20"/>
          <w:color w:val="auto"/>
        </w:rPr>
      </w:pPr>
    </w:p>
    <w:p>
      <w:pPr>
        <w:ind w:firstLine="724"/>
        <w:spacing w:after="0" w:line="269" w:lineRule="auto"/>
        <w:tabs>
          <w:tab w:leader="none" w:pos="10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securities with maturities of 24 months or less from the date of acquisition backed by standby letters of credit issued by any financial institution or recognized securities dealer meeting the qualifications specified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firstLine="724"/>
        <w:spacing w:after="0" w:line="269" w:lineRule="auto"/>
        <w:tabs>
          <w:tab w:leader="none" w:pos="95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issued by Persons with a rating of “A” or higher from S&amp;P, “A-2” or higher from Moody’s or “F” or higher from Fitch with maturities of 24 months or less</w:t>
      </w:r>
    </w:p>
    <w:p>
      <w:pPr>
        <w:spacing w:after="0" w:line="9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260"/>
          </w:cols>
          <w:pgMar w:left="1200" w:top="265" w:right="439" w:bottom="1440" w:gutter="0" w:footer="0" w:header="0"/>
        </w:sectPr>
      </w:pPr>
    </w:p>
    <w:bookmarkStart w:id="20" w:name="page21"/>
    <w:bookmarkEnd w:id="20"/>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the date of acquisition and (ii) preferred stock of Persons meeting criteria for clause (i) having an investment grade rating from either Moody’s, S&amp;P or Fitch (or, if at any time none of Moody’s, S&amp;P or Fitch shall be rating such obligations, an equivalent rating from another nationally recognized statistical Rating Agency); and</w:t>
      </w:r>
    </w:p>
    <w:p>
      <w:pPr>
        <w:spacing w:after="0" w:line="174" w:lineRule="exact"/>
        <w:rPr>
          <w:sz w:val="20"/>
          <w:szCs w:val="20"/>
          <w:color w:val="auto"/>
        </w:rPr>
      </w:pPr>
    </w:p>
    <w:p>
      <w:pPr>
        <w:ind w:left="1840" w:hanging="356"/>
        <w:spacing w:after="0"/>
        <w:tabs>
          <w:tab w:leader="none" w:pos="184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 funds investing at least 90% of their assets in securities of the types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w:t>
      </w:r>
    </w:p>
    <w:p>
      <w:pPr>
        <w:spacing w:after="0" w:line="21" w:lineRule="exact"/>
        <w:rPr>
          <w:rFonts w:ascii="Times New Roman" w:cs="Times New Roman" w:eastAsia="Times New Roman" w:hAnsi="Times New Roman"/>
          <w:sz w:val="20"/>
          <w:szCs w:val="20"/>
          <w:color w:val="auto"/>
        </w:rPr>
      </w:pPr>
    </w:p>
    <w:p>
      <w:pPr>
        <w:ind w:left="1000" w:hanging="233"/>
        <w:spacing w:after="0"/>
        <w:tabs>
          <w:tab w:leader="none" w:pos="1000"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w:t>
      </w:r>
    </w:p>
    <w:p>
      <w:pPr>
        <w:spacing w:after="0" w:line="194" w:lineRule="exact"/>
        <w:rPr>
          <w:sz w:val="20"/>
          <w:szCs w:val="20"/>
          <w:color w:val="auto"/>
        </w:rPr>
      </w:pPr>
    </w:p>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t xml:space="preserve">In the case of Investments by the Borrower or any Foreign Subsidiary that is a Restricted Subsidiary or Investments made in a country outside the United States of America, Cash Equivalents shall also include (i) investments of the type and maturity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and in this paragraph.</w:t>
      </w:r>
    </w:p>
    <w:p>
      <w:pPr>
        <w:spacing w:after="0" w:line="184"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Cash Equivalents shall include amounts denominated in currencies other than those set forth in clauses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amounts are converted into any currency listed in clauses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as promptly as practicable and in any event within ten (10) Business Days following the receipt of such amounts.</w:t>
      </w:r>
    </w:p>
    <w:p>
      <w:pPr>
        <w:spacing w:after="0" w:line="17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For the avoidance of doubt, any items identified as Cash Equivalents under this definition will be deemed to be Cash Equivalents for all purposes regardless of the treatment of such items under GAAP.</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right="20" w:firstLine="724"/>
        <w:spacing w:after="0" w:line="246" w:lineRule="auto"/>
        <w:tabs>
          <w:tab w:leader="none" w:pos="176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as in effect on the Closing Date), other than (i) any combination of the Permitted Holders or (ii) any “group” including any Permitted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Permitted Holders beneficially own more than 50% of all voting interests beneficially owned by such “group”), shall have acquired beneficial ownership of more than 50%, on a fully diluted basis, of the voting interests in the Borrower’s Equity Interests; or</w:t>
      </w:r>
    </w:p>
    <w:p>
      <w:pPr>
        <w:spacing w:after="0" w:line="184" w:lineRule="exact"/>
        <w:rPr>
          <w:rFonts w:ascii="Times New Roman" w:cs="Times New Roman" w:eastAsia="Times New Roman" w:hAnsi="Times New Roman"/>
          <w:sz w:val="20"/>
          <w:szCs w:val="20"/>
          <w:color w:val="auto"/>
        </w:rPr>
      </w:pPr>
    </w:p>
    <w:p>
      <w:pPr>
        <w:ind w:left="760" w:firstLine="724"/>
        <w:spacing w:after="0" w:line="269" w:lineRule="auto"/>
        <w:tabs>
          <w:tab w:leader="none" w:pos="180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 “change in control” (or similar event, however defined), as defined in any indenture or agreement in respect of Material Indebtedness of the Borrower or any Restricted Subsidiary.</w:t>
      </w:r>
    </w:p>
    <w:p>
      <w:pPr>
        <w:spacing w:after="0" w:line="159" w:lineRule="exact"/>
        <w:rPr>
          <w:sz w:val="20"/>
          <w:szCs w:val="20"/>
          <w:color w:val="auto"/>
        </w:rPr>
      </w:pPr>
    </w:p>
    <w:p>
      <w:pPr>
        <w:jc w:val="both"/>
        <w:ind w:right="20" w:firstLine="771"/>
        <w:spacing w:after="0" w:line="243" w:lineRule="auto"/>
        <w:rPr>
          <w:sz w:val="20"/>
          <w:szCs w:val="20"/>
          <w:color w:val="auto"/>
        </w:rPr>
      </w:pPr>
      <w:r>
        <w:rPr>
          <w:rFonts w:ascii="Times New Roman" w:cs="Times New Roman" w:eastAsia="Times New Roman" w:hAnsi="Times New Roman"/>
          <w:sz w:val="20"/>
          <w:szCs w:val="20"/>
          <w:color w:val="auto"/>
        </w:rPr>
        <w:t>Notwithstanding the preceding or any provision of Section 13d-3 or 13d-5 of the Exchange Act, (i) a Person or group shall not be deemed to beneficially own Equity Interests subject to a stock or asset purchase agreement, merger agreement, option agreement, warrant agreement or similar agreement until the consummation of the acquisition of the Equity Interests in connection with the transactions contemplated by such agreement, (ii) if any group (other than a Permitted Holder) includes one or more Permitted Holders, the issued and outstanding Equity Interests of the Borrower owned, directly or indirectly, by any Permitted Holders that are part of such group shall not be treated as being beneficially owned by such group or any other member of such group for purposes of determining whether a Change in Control has occurred and (iii) a Person or group will not be deemed to beneficially own the Equity Interests of another Person as a result of its ownership of the Equity Interests or other securities of such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020"/>
          </w:cols>
          <w:pgMar w:left="440" w:top="265" w:right="439" w:bottom="1440" w:gutter="0" w:footer="0" w:header="0"/>
        </w:sectPr>
      </w:pPr>
    </w:p>
    <w:bookmarkStart w:id="21" w:name="page22"/>
    <w:bookmarkEnd w:id="21"/>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Person’s parent entity (or related contractual rights) unless it owns 50% or more of the total voting power of the Equity Interests entitled to vote for the election of directors of such parent entity having a majority of the aggregate votes on the board of directors (or similar body) of such parent entity.</w:t>
      </w:r>
    </w:p>
    <w:p>
      <w:pPr>
        <w:spacing w:after="0" w:line="174"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Issuing Bank (or, for purposes of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Business Day on which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which date is April 8, 2019.</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16"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(i) the “Collateral” as defined in the Security Agreement, (ii) the “Collateral” (or similar term) as defined in any other Collateral Document and (iii) any other assets pledged or in which a Lien is granted, in each case, pursuant to any Collateral Document.</w:t>
      </w:r>
    </w:p>
    <w:p>
      <w:pPr>
        <w:spacing w:after="0" w:line="17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means Citibank, N.A., in its capacity as collateral agent in its own name under any of the Loan Documents, or any successor collateral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means, at any time, the requirement that:</w:t>
      </w:r>
    </w:p>
    <w:p>
      <w:pPr>
        <w:spacing w:after="0" w:line="216" w:lineRule="exact"/>
        <w:rPr>
          <w:sz w:val="20"/>
          <w:szCs w:val="20"/>
          <w:color w:val="auto"/>
        </w:rPr>
      </w:pPr>
    </w:p>
    <w:p>
      <w:pPr>
        <w:jc w:val="both"/>
        <w:ind w:left="760" w:right="20" w:firstLine="724"/>
        <w:spacing w:after="0" w:line="254" w:lineRule="auto"/>
        <w:tabs>
          <w:tab w:leader="none" w:pos="177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shall have received each Collateral Document required to be delivered on the Closing Date pursuant to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or from time to time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the Security Agreement, subject to the limitations and exceptions of this Agreement, duly executed by each Loan Party party thereto;</w:t>
      </w:r>
    </w:p>
    <w:p>
      <w:pPr>
        <w:spacing w:after="0" w:line="17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shall have been guaranteed by each Restricted Subsidiary of the Borrower (other than the Excluded Subsidiaries) pursuant to the Guaranty;</w:t>
      </w:r>
    </w:p>
    <w:p>
      <w:pPr>
        <w:spacing w:after="0" w:line="159" w:lineRule="exact"/>
        <w:rPr>
          <w:rFonts w:ascii="Times New Roman" w:cs="Times New Roman" w:eastAsia="Times New Roman" w:hAnsi="Times New Roman"/>
          <w:sz w:val="20"/>
          <w:szCs w:val="20"/>
          <w:color w:val="auto"/>
        </w:rPr>
      </w:pPr>
    </w:p>
    <w:p>
      <w:pPr>
        <w:jc w:val="both"/>
        <w:ind w:left="760" w:firstLine="724"/>
        <w:spacing w:after="0" w:line="260" w:lineRule="auto"/>
        <w:tabs>
          <w:tab w:leader="none" w:pos="1771"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Obligations and the Guaranty shall have been secured pursuant to the Security Agreement by a first-priority perfected security interest in all Equity Interests of each Restricted Subsidiary (that is not an Excluded Subsidiary (other than any Restricted Subsidiary that is an Excluded Subsidiary solely pursuant to </w:t>
      </w:r>
      <w:r>
        <w:rPr>
          <w:rFonts w:ascii="Times New Roman" w:cs="Times New Roman" w:eastAsia="Times New Roman" w:hAnsi="Times New Roman"/>
          <w:sz w:val="19"/>
          <w:szCs w:val="19"/>
          <w:u w:val="single" w:color="auto"/>
          <w:color w:val="auto"/>
        </w:rPr>
        <w:t>clause (e), (f), (j)</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 of the definition thereof)) directly owned by any Loan Party, subject to exceptions and limitations otherwise set forth in this Agreement and the Collateral Documents (and the Collateral Agent shall have received certificates or other instruments representing all such Equity Interests (if any), together with undated stock powers or other instruments of transfer with respect thereto endorsed in blank);</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020"/>
          </w:cols>
          <w:pgMar w:left="440" w:top="265" w:right="439" w:bottom="1440" w:gutter="0" w:footer="0" w:header="0"/>
        </w:sectPr>
      </w:pPr>
    </w:p>
    <w:bookmarkStart w:id="22" w:name="page23"/>
    <w:bookmarkEnd w:id="22"/>
    <w:p>
      <w:pPr>
        <w:jc w:val="both"/>
        <w:ind w:left="760" w:right="20" w:firstLine="724"/>
        <w:spacing w:after="0" w:line="249" w:lineRule="auto"/>
        <w:tabs>
          <w:tab w:leader="none" w:pos="176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Pledged Debt owing to the Borrower or any other Loan Party (any such Pledged Debt owing to the Borrower or any Loan Party from any Restricted Subsidiary, the “</w:t>
      </w:r>
      <w:r>
        <w:rPr>
          <w:rFonts w:ascii="Times New Roman" w:cs="Times New Roman" w:eastAsia="Times New Roman" w:hAnsi="Times New Roman"/>
          <w:sz w:val="20"/>
          <w:szCs w:val="20"/>
          <w:u w:val="single" w:color="auto"/>
          <w:color w:val="auto"/>
        </w:rPr>
        <w:t>Pledged Intercompany Debt</w:t>
      </w:r>
      <w:r>
        <w:rPr>
          <w:rFonts w:ascii="Times New Roman" w:cs="Times New Roman" w:eastAsia="Times New Roman" w:hAnsi="Times New Roman"/>
          <w:sz w:val="20"/>
          <w:szCs w:val="20"/>
          <w:color w:val="auto"/>
        </w:rPr>
        <w:t>”), that is evidenced by a promissory note shall have been delivered to the Collateral Agent pursuant to the Security Agreement and the Collateral Agent shall have received all such promissory notes, together with undated instruments of transfer with respect thereto endorsed in blank;</w:t>
      </w:r>
    </w:p>
    <w:p>
      <w:pPr>
        <w:spacing w:after="0" w:line="179" w:lineRule="exact"/>
        <w:rPr>
          <w:rFonts w:ascii="Times New Roman" w:cs="Times New Roman" w:eastAsia="Times New Roman" w:hAnsi="Times New Roman"/>
          <w:sz w:val="20"/>
          <w:szCs w:val="20"/>
          <w:color w:val="auto"/>
        </w:rPr>
      </w:pPr>
    </w:p>
    <w:p>
      <w:pPr>
        <w:jc w:val="both"/>
        <w:ind w:left="760" w:firstLine="724"/>
        <w:spacing w:after="0" w:line="246" w:lineRule="auto"/>
        <w:tabs>
          <w:tab w:leader="none" w:pos="176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and the Guaranty shall have been secured by a perfected security interest in substantially all now owned or at any time hereafter acquired tangible and intangible assets of each Loan Party (including Equity Interests, intercompany debt, accounts, inventory, equipment, investment property, contract rights, IP Rights, other general intangibles and proceeds of the foregoing), in each case, subject to exceptions and limitations otherwise set forth in this Agreement and the Collateral Documents, in each case with the priority required by the Collateral Documents; and</w:t>
      </w:r>
    </w:p>
    <w:p>
      <w:pPr>
        <w:spacing w:after="0" w:line="184" w:lineRule="exact"/>
        <w:rPr>
          <w:rFonts w:ascii="Times New Roman" w:cs="Times New Roman" w:eastAsia="Times New Roman" w:hAnsi="Times New Roman"/>
          <w:sz w:val="20"/>
          <w:szCs w:val="20"/>
          <w:color w:val="auto"/>
        </w:rPr>
      </w:pPr>
    </w:p>
    <w:p>
      <w:pPr>
        <w:jc w:val="both"/>
        <w:ind w:left="760" w:firstLine="724"/>
        <w:spacing w:after="0" w:line="244" w:lineRule="auto"/>
        <w:tabs>
          <w:tab w:leader="none" w:pos="176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contemplated by this Agreement or any Collateral Document, all certificates, agreements, documents and instruments, including Uniform Commercial Code financing statements and filings with the United States Patent and Trademark Office and United States Copyright Office, required by the Collateral Documents, applicable law or reasonably requested by the Collateral Agent to be filed, delivered, registered or recorded to create the Liens intended to be created by the Collateral Documents and perfect such Liens to the extent required by, and with the priority required by, the Collateral Documents and the other provisions of the term “Collateral and Guarantee Requirement,” shall have been filed, registered or recorded or delivered to the Collateral Agent for filing, registration or recording; and</w:t>
      </w:r>
    </w:p>
    <w:p>
      <w:pPr>
        <w:spacing w:after="0" w:line="185" w:lineRule="exact"/>
        <w:rPr>
          <w:rFonts w:ascii="Times New Roman" w:cs="Times New Roman" w:eastAsia="Times New Roman" w:hAnsi="Times New Roman"/>
          <w:sz w:val="20"/>
          <w:szCs w:val="20"/>
          <w:color w:val="auto"/>
        </w:rPr>
      </w:pPr>
    </w:p>
    <w:p>
      <w:pPr>
        <w:jc w:val="both"/>
        <w:ind w:left="760" w:firstLine="724"/>
        <w:spacing w:after="0" w:line="245" w:lineRule="auto"/>
        <w:tabs>
          <w:tab w:leader="none" w:pos="176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Closing Date, each Restricted Subsidiary of the Borrower that is not then a Guarantor and not an Excluded Subsidiary shall become a Guarantor and signatory to this Agreement pursuant to a joinder agreement in accordance with </w:t>
      </w:r>
      <w:r>
        <w:rPr>
          <w:rFonts w:ascii="Times New Roman" w:cs="Times New Roman" w:eastAsia="Times New Roman" w:hAnsi="Times New Roman"/>
          <w:sz w:val="20"/>
          <w:szCs w:val="20"/>
          <w:u w:val="single" w:color="auto"/>
          <w:color w:val="auto"/>
        </w:rPr>
        <w:t>Sections 5.10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and a party to this Agreement pursuant to the Collateral Documents in accordance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the foregoing provisions, any Subsidiary of the Borrower that Guarantees (other than Guarantees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by a Foreign Subsidiary of Indebtedness of another Foreign Subsidiary) any Indebtedness of any Loan Party incurred pursuant to </w:t>
      </w:r>
      <w:r>
        <w:rPr>
          <w:rFonts w:ascii="Times New Roman" w:cs="Times New Roman" w:eastAsia="Times New Roman" w:hAnsi="Times New Roman"/>
          <w:sz w:val="20"/>
          <w:szCs w:val="20"/>
          <w:u w:val="single" w:color="auto"/>
          <w:color w:val="auto"/>
        </w:rPr>
        <w:t>Section 6.01(t)</w:t>
      </w:r>
      <w:r>
        <w:rPr>
          <w:rFonts w:ascii="Times New Roman" w:cs="Times New Roman" w:eastAsia="Times New Roman" w:hAnsi="Times New Roman"/>
          <w:sz w:val="20"/>
          <w:szCs w:val="20"/>
          <w:color w:val="auto"/>
        </w:rPr>
        <w:t xml:space="preserve"> shall be a Guarantor hereunder for so long as it Guarantees such Indebtedness.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foregoing provisions of this definition or anything in this Agreement or any other Loan Document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contrary:</w:t>
      </w:r>
    </w:p>
    <w:p>
      <w:pPr>
        <w:spacing w:after="0" w:line="194" w:lineRule="exact"/>
        <w:rPr>
          <w:sz w:val="20"/>
          <w:szCs w:val="20"/>
          <w:color w:val="auto"/>
        </w:rPr>
      </w:pPr>
    </w:p>
    <w:p>
      <w:pPr>
        <w:jc w:val="both"/>
        <w:ind w:left="760" w:firstLine="724"/>
        <w:spacing w:after="0" w:line="242" w:lineRule="auto"/>
        <w:tabs>
          <w:tab w:leader="none" w:pos="18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foregoing definition shall not require, unless otherwise stated in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creation or perfection of pledges of, security interests in, mortgages on, or taking other actions with respect to the following (collectively, the “</w:t>
      </w:r>
      <w:r>
        <w:rPr>
          <w:rFonts w:ascii="Times New Roman" w:cs="Times New Roman" w:eastAsia="Times New Roman" w:hAnsi="Times New Roman"/>
          <w:sz w:val="20"/>
          <w:szCs w:val="20"/>
          <w:u w:val="single" w:color="auto"/>
          <w:color w:val="auto"/>
        </w:rPr>
        <w:t>Excluded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Assets</w:t>
      </w:r>
      <w:r>
        <w:rPr>
          <w:rFonts w:ascii="Times New Roman" w:cs="Times New Roman" w:eastAsia="Times New Roman" w:hAnsi="Times New Roman"/>
          <w:sz w:val="20"/>
          <w:szCs w:val="20"/>
          <w:color w:val="auto"/>
        </w:rPr>
        <w:t>”): (i) any property or assets owned by any Foreign Subsidiary (unless such Subsidiary becomes a Loan Party), any Unrestricted Subsidiary (unless such Subsidiary becomes a Guarantor at the option of the Borrower) or any Subsidiary which is not a Loan Party, (ii) any lease, license, contract, agreement or other general intangible or any property subject to a purchase money security interest, Capital Lease Obligation or similar arrangement, in each case permitted under this Agreement, to the extent that a grant of a security interest therein would violate or invalidate such lease, license, contract, agreement or other general intangible, Capital Lease Obligation or purchase money arrangement or create a right of termination in favor of any other party thereto (other than a Loan Party) after giving effect to the applicable anti-assignment provisions of the Uniform Commercial Code or other applicable law, other than proceeds and receivables thereof,</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020"/>
          </w:cols>
          <w:pgMar w:left="440" w:top="265" w:right="439" w:bottom="1440" w:gutter="0" w:footer="0" w:header="0"/>
        </w:sectPr>
      </w:pPr>
    </w:p>
    <w:bookmarkStart w:id="23" w:name="page24"/>
    <w:bookmarkEnd w:id="23"/>
    <w:p>
      <w:pPr>
        <w:jc w:val="both"/>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assignment of which is expressly deemed effective under the Uniform Commercial Code or other applicable law notwithstanding such prohibition, (iii) any interest in fee owned real property, (iv) any interest in leased real property (including any requirement to deliver landlord waivers, estoppels and collateral access letters), (v) motor vehicles, aircrafts, airframes, aircrafts engines or helicopters and other assets subject to certificates of title, (vi) Margin Stock and Equity Interests of any Person (other than each Wholly-Owned Subsidiary of the Borrower that is a Restricted Subsidiary (that is also not an Excluded Subsidiary (other than any Restricted Subsidiary that is an Excluded Subsidiary solely pursuant to </w:t>
      </w:r>
      <w:r>
        <w:rPr>
          <w:rFonts w:ascii="Times New Roman" w:cs="Times New Roman" w:eastAsia="Times New Roman" w:hAnsi="Times New Roman"/>
          <w:sz w:val="20"/>
          <w:szCs w:val="20"/>
          <w:u w:val="single" w:color="auto"/>
          <w:color w:val="auto"/>
        </w:rPr>
        <w:t>clause (e), (f), (j)</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of the definition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clause (vi) shall not apply to Equity Interests of a Loan Party, (vii) any intent-to-use trademark application prior to the filing of a “Statement of Use” or “Amendment to Allege Use” with respect thereto, to the extent, if any, that, and solely during the period, if any, that granting a security interest in such trademark application prior to such filing would impair the enforceability or validity, or result in the voiding, of such trademark application (or any registration that may issue therefrom) under applicable federal Law, (viii) any property or assets to the extent a security interest therein would result in material adverse tax consequences to the Borrower or any direct or indirect Subsidiaries of the Borrower, as reasonably determined by the Borrower in consultation with the Administrative Agent, (ix) any governmental licenses or state or local franchises, charters and authorizations, to the extent a security in any such license, franchise, charter or authorization is prohibited or restricted thereby after giving effect to the anti-assignment provision of the Uniform Commercial Code and other applicable law, other than proceeds and receivables thereof, the assignment of which is expressly deemed effective under the Uniform Commercial Code or other applicable law notwithstanding such prohibition or restriction, (x) any assets to the extent pledges and security interests therein are prohibited or restricted by applicable law whether on the Closing Date or thereafter (including any requirement to obtain the consent of any Governmental Authority or third party (other than a Loan Party)), (xi) all commercial tort claims, (xii) any deposit accounts, securities accounts or any similar accounts (including securities entitlements) (in each case, other than proceeds of Collateral) and any other accounts used solely as payroll and other employee wage and benefit accounts, tax accounts (including, without limitation, sales tax accounts) and any tax benefits accounts, escrow accounts, fiduciary or trust accounts and any funds and other property held in or maintained in any such accounts, (xiii) letter of credit rights, except to the extent constituting a supporting obligation for other Collateral as to which perfection of the security interest in such other Collateral may be accomplished by the filing of a Uniform Commercial Code financing statement (it being understood that no actions shall be required to perfect a security interest in letter of credit rights, other than the filing of a Uniform Commercial Code financing statement), (xiv) cash and Cash Equivalents (other than cash and Cash Equivalents to the extent constituting proceeds of Collateral), (xv) any particular assets if the burden, cost or consequence (including any adverse tax consequence) of creating or perfecting such pledges or security interests in such assets is excessive in relation to the benefits to be obtained therefrom by the Lenders under the Loan Documents as reasonably determined by the Borrower and the Administrative Agent, (xvi) voting Equity Interests in any Foreign Subsidiary that is a CFC or any FSHCO, in each case, representing more than 65% of the voting power of all outstanding Equity Interests of such CFC or FSHCO, (xvii) to the extent that pledges and security interest therein are prohibited or restricted by applicable law, Equity Interests in any Subsidiaries that are a Broker-Dealer Subsidiary or other Regulated Subsidiaries, state chartered trust company, national trust company or thrift limited to trust powers and (xviii) proceeds from any and all of the foregoing assets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(xvii)</w:t>
      </w:r>
      <w:r>
        <w:rPr>
          <w:rFonts w:ascii="Times New Roman" w:cs="Times New Roman" w:eastAsia="Times New Roman" w:hAnsi="Times New Roman"/>
          <w:sz w:val="20"/>
          <w:szCs w:val="20"/>
          <w:color w:val="auto"/>
        </w:rPr>
        <w:t xml:space="preserve"> above to the extent such proceeds would otherwise be excluded pursuant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(xvii)</w:t>
      </w:r>
      <w:r>
        <w:rPr>
          <w:rFonts w:ascii="Times New Roman" w:cs="Times New Roman" w:eastAsia="Times New Roman" w:hAnsi="Times New Roman"/>
          <w:sz w:val="20"/>
          <w:szCs w:val="20"/>
          <w:color w:val="auto"/>
        </w:rPr>
        <w:t xml:space="preserve"> above;</w:t>
      </w:r>
    </w:p>
    <w:p>
      <w:pPr>
        <w:spacing w:after="0" w:line="1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260"/>
          </w:cols>
          <w:pgMar w:left="1200" w:top="265" w:right="439" w:bottom="1440" w:gutter="0" w:footer="0" w:header="0"/>
        </w:sectPr>
      </w:pPr>
    </w:p>
    <w:bookmarkStart w:id="24" w:name="page25"/>
    <w:bookmarkEnd w:id="24"/>
    <w:p>
      <w:pPr>
        <w:jc w:val="both"/>
        <w:ind w:left="760" w:firstLine="724"/>
        <w:spacing w:after="0" w:line="243" w:lineRule="auto"/>
        <w:tabs>
          <w:tab w:leader="none" w:pos="182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foregoing definition shall not require control agreements with respect to any cash, deposit accounts or securities accounts or any other assets requiring perfection through control agreements; (ii) no actions in any non-U.S. jurisdiction or required by the laws of any non-U.S. jurisdiction shall be required in order to create any security interests in assets located or titled outside of the U.S., including any IP Rights registered in any non-U.S. jurisdiction, or to perfect such security interests (it being understood that there shall be no security agreements or pledge agreements governed under the laws of any non-U.S. jurisdiction and (iii) except to the extent that perfection and priority may be achieved by the filing of a financing statement under the Uniform Commercial Code with respect to the Borrower or a Guarantor, the Loan Documents shall not contain any requirements as to perfection or priority with respect to any assets or property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760" w:firstLine="724"/>
        <w:spacing w:after="0" w:line="245" w:lineRule="auto"/>
        <w:tabs>
          <w:tab w:leader="none" w:pos="182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in its reasonable discretion may grant extensions of time for the creation or perfection of security interests in, and mortgages on, or taking other actions with respect to, particular assets (including extensions beyond the Closing Date) where it reasonably determines, in consultation with the Borrower, that the creation or perfection of security interests and mortgages on, or taking other actions, or any other compliance with the requirements of this definition cannot be accomplished without undue delay, burden or expense by the time or times at which it would otherwise be required by this Agreement or the Collateral Documents;</w:t>
      </w:r>
    </w:p>
    <w:p>
      <w:pPr>
        <w:spacing w:after="0" w:line="184" w:lineRule="exact"/>
        <w:rPr>
          <w:rFonts w:ascii="Times New Roman" w:cs="Times New Roman" w:eastAsia="Times New Roman" w:hAnsi="Times New Roman"/>
          <w:sz w:val="20"/>
          <w:szCs w:val="20"/>
          <w:color w:val="auto"/>
        </w:rPr>
      </w:pPr>
    </w:p>
    <w:p>
      <w:pPr>
        <w:jc w:val="both"/>
        <w:ind w:left="760" w:firstLine="724"/>
        <w:spacing w:after="0" w:line="245" w:lineRule="auto"/>
        <w:tabs>
          <w:tab w:leader="none" w:pos="184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Foreign Subsidiary becomes a Guarantor such Loan Party shall grant a perfected lien on substantially all of its assets pursuant to arrangements reasonably agreed between the Administrative Agent and the Borrower, pursuant to documentation and subject to customary limitations as may be reasonably agreed between the Administrative Agent and the Borrower, and nothing in the definition of “Excluded Asset” or other limitation in this Agreement shall in any way limit or restrict the pledge of assets and property by any such Foreign Subsidiary that is a Guarantor or the pledge of the Equity Interests of such Foreign Subsidiary by any other Loan Party that holds such Equity Interests; and</w:t>
      </w:r>
    </w:p>
    <w:p>
      <w:pPr>
        <w:spacing w:after="0" w:line="18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81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required to be granted from time to time pursuant to the Collateral and Guarantee Requirement shall be subject to exceptions and limitations (if any) set forth in this Agreement and the Collateral Documents.</w:t>
      </w:r>
    </w:p>
    <w:p>
      <w:pPr>
        <w:spacing w:after="0" w:line="159" w:lineRule="exact"/>
        <w:rPr>
          <w:sz w:val="20"/>
          <w:szCs w:val="20"/>
          <w:color w:val="auto"/>
        </w:rPr>
      </w:pPr>
    </w:p>
    <w:p>
      <w:pPr>
        <w:jc w:val="both"/>
        <w:ind w:right="20" w:firstLine="771"/>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Collateral Documents</w:t>
      </w:r>
      <w:r>
        <w:rPr>
          <w:rFonts w:ascii="Times New Roman" w:cs="Times New Roman" w:eastAsia="Times New Roman" w:hAnsi="Times New Roman"/>
          <w:sz w:val="19"/>
          <w:szCs w:val="19"/>
          <w:color w:val="auto"/>
        </w:rPr>
        <w:t xml:space="preserve">” means, collectively, the Security Agreement, the Intellectual Property Security Agreements, each of the collateral assignments, security agreements, pledge agreements or other similar agreements delivered to the Administrative Agent or the Collateral Agent pursuant to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5.10</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5.11</w:t>
      </w:r>
      <w:r>
        <w:rPr>
          <w:rFonts w:ascii="Times New Roman" w:cs="Times New Roman" w:eastAsia="Times New Roman" w:hAnsi="Times New Roman"/>
          <w:sz w:val="19"/>
          <w:szCs w:val="19"/>
          <w:color w:val="auto"/>
        </w:rPr>
        <w:t xml:space="preserve"> and each of the other agreements, instruments or documents that creates or purports to create a Lien in favor of the Administrative Agent or the Collateral Agent for the benefit of the Secured Parties.</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0"/>
          <w:szCs w:val="20"/>
          <w:u w:val="single" w:color="auto"/>
          <w:color w:val="0000FF"/>
        </w:rPr>
        <w:t>“Conforming Changes” means, with respect to either the use or administration of an initial Benchmark, any technical, administrative or operational changes (including changes to the definition of “Base Rate” (if applicable), the definition of “Business Day,” the definition of “Euro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020"/>
          </w:cols>
          <w:pgMar w:left="440" w:top="265" w:right="439" w:bottom="1440" w:gutter="0" w:footer="0" w:header="0"/>
        </w:sectPr>
      </w:pPr>
    </w:p>
    <w:bookmarkStart w:id="25" w:name="page26"/>
    <w:bookmarkEnd w:id="25"/>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 notices, the applicability and length of lookback periods, the applicability of Section 2.13 and other technical, administrative or operational matters) that the Administrative Agent decides may be appropriate to reflect the adoption and implementation of any such rate or to permit the use and administration thereof by the Administrative Agent in a manner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determines, in its reasonable discretion, is reasonably necessary in connection with the administration of this Agreement and the other Loan Documents).</w:t>
      </w:r>
    </w:p>
    <w:p>
      <w:pPr>
        <w:spacing w:after="0" w:line="186"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Cash Interest Expense</w:t>
      </w:r>
      <w:r>
        <w:rPr>
          <w:rFonts w:ascii="Times New Roman" w:cs="Times New Roman" w:eastAsia="Times New Roman" w:hAnsi="Times New Roman"/>
          <w:sz w:val="20"/>
          <w:szCs w:val="20"/>
          <w:color w:val="auto"/>
        </w:rPr>
        <w:t xml:space="preserve">” means, for any period, the excess of (a) the sum of (i) the interest expense (including imputed interest expense in respect of Capital Lease Obligations) of the Borrower and its Restricted Subsidiaries for such period, determined on a consolidated basis in accordance with GAAP, (ii) any interest accrued during such period in respect of Indebtedness of the Borrower or any Restricted Subsidiary that is required to be capitalized rather than included in consolidated interest expense for such period in accordance with GAAP and (iii) any cash payments made during such period in respect of obligations referred to in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below that were amortized or accrued in a previous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the sum of (i) to the extent included in such consolidated interest expense for such period, non-cash amounts attributable to amortization of financing costs paid in a previous period, (ii) to the extent included in such consolidated interest expense for such period, non-cash amounts attributable to amortization of debt discounts or accrued interest payable in kind for such period, (iii) to the extent included in such consolidated interest expense for such period, any other non-cash amounts, (iv) any break funding payment made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(v) interest expense in respect of Excluded Indebtedness.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w:t>
      </w:r>
      <w:r>
        <w:rPr>
          <w:rFonts w:ascii="Times New Roman" w:cs="Times New Roman" w:eastAsia="Times New Roman" w:hAnsi="Times New Roman"/>
          <w:sz w:val="20"/>
          <w:szCs w:val="20"/>
          <w:color w:val="auto"/>
        </w:rPr>
        <w:t>A” means, for any period, the Consolidated Net Income for such period:</w:t>
      </w:r>
    </w:p>
    <w:p>
      <w:pPr>
        <w:spacing w:after="0" w:line="216" w:lineRule="exact"/>
        <w:rPr>
          <w:sz w:val="20"/>
          <w:szCs w:val="20"/>
          <w:color w:val="auto"/>
        </w:rPr>
      </w:pPr>
    </w:p>
    <w:p>
      <w:pPr>
        <w:ind w:left="760" w:right="20" w:firstLine="724"/>
        <w:spacing w:after="0" w:line="269" w:lineRule="auto"/>
        <w:tabs>
          <w:tab w:leader="none" w:pos="176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(without duplication) by the following, in each case (and to the extent applicable) to the extent deducted (and not added back) in determining Consolidated Net Income for such period:</w:t>
      </w:r>
    </w:p>
    <w:p>
      <w:pPr>
        <w:spacing w:after="0" w:line="159" w:lineRule="exact"/>
        <w:rPr>
          <w:sz w:val="20"/>
          <w:szCs w:val="20"/>
          <w:color w:val="auto"/>
        </w:rPr>
      </w:pPr>
    </w:p>
    <w:p>
      <w:pPr>
        <w:jc w:val="both"/>
        <w:ind w:left="760" w:firstLine="724"/>
        <w:spacing w:after="0" w:line="256" w:lineRule="auto"/>
        <w:tabs>
          <w:tab w:leader="none" w:pos="1762"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(x) provision for taxes based on income, profits or capital, including, without limitation, federal, state and foreign franchise and similar taxes (such as the Delaware franchise tax) and withholding taxes (including any future taxes or other levies which replace or are intended to be in lieu of such taxes and any penalties and interest related to such taxes or arising from tax examinations), (y) if the Borrower is treated as a disregarded entity or partnership for U.S. federal, state and/or local income tax purposes for such period or any portion thereof, the amount of distributions actually made to any direct or indirect parent company (including Public Company Parent) of the Borrower in respect of such period in accordance with </w:t>
      </w:r>
      <w:r>
        <w:rPr>
          <w:rFonts w:ascii="Times New Roman" w:cs="Times New Roman" w:eastAsia="Times New Roman" w:hAnsi="Times New Roman"/>
          <w:sz w:val="19"/>
          <w:szCs w:val="19"/>
          <w:u w:val="single" w:color="auto"/>
          <w:color w:val="auto"/>
        </w:rPr>
        <w:t>Section 6.05</w:t>
      </w:r>
      <w:r>
        <w:rPr>
          <w:rFonts w:ascii="Times New Roman" w:cs="Times New Roman" w:eastAsia="Times New Roman" w:hAnsi="Times New Roman"/>
          <w:sz w:val="19"/>
          <w:szCs w:val="19"/>
          <w:color w:val="auto"/>
        </w:rPr>
        <w:t xml:space="preserve"> and</w:t>
      </w:r>
    </w:p>
    <w:p>
      <w:pPr>
        <w:ind w:left="760" w:right="20" w:firstLine="7"/>
        <w:spacing w:after="0" w:line="246" w:lineRule="auto"/>
        <w:tabs>
          <w:tab w:leader="none" w:pos="1085"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tax expense associated with any adjustments made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of the definition of “Consolidated Net Income”; </w:t>
      </w:r>
      <w:r>
        <w:rPr>
          <w:rFonts w:ascii="Times New Roman" w:cs="Times New Roman" w:eastAsia="Times New Roman" w:hAnsi="Times New Roman"/>
          <w:sz w:val="20"/>
          <w:szCs w:val="20"/>
          <w:i w:val="1"/>
          <w:iCs w:val="1"/>
          <w:color w:val="auto"/>
        </w:rPr>
        <w:t>plus</w:t>
      </w:r>
    </w:p>
    <w:p>
      <w:pPr>
        <w:spacing w:after="0" w:line="181" w:lineRule="exact"/>
        <w:rPr>
          <w:rFonts w:ascii="Times New Roman" w:cs="Times New Roman" w:eastAsia="Times New Roman" w:hAnsi="Times New Roman"/>
          <w:sz w:val="20"/>
          <w:szCs w:val="20"/>
          <w:color w:val="auto"/>
        </w:rPr>
      </w:pPr>
    </w:p>
    <w:p>
      <w:pPr>
        <w:jc w:val="both"/>
        <w:ind w:left="760" w:right="20" w:firstLine="724"/>
        <w:spacing w:after="0" w:line="258" w:lineRule="auto"/>
        <w:tabs>
          <w:tab w:leader="none" w:pos="1758"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Fixed Charges for such period (including (u) amortization of OID resulting from the issuance of Indebtedness at less than par, (v) non-cash interest payments (but excluding any non-cash interest expense attributable to the movement in the mark-to-market valuation of Swap Obligations or other derivative instruments pursuant to GAAP), (w) non-cash rent expense, (x) net losses or any obligations on Swap Obligations or other derivative instruments, (y) bank fees and other financing fees and</w:t>
      </w:r>
    </w:p>
    <w:p>
      <w:pPr>
        <w:ind w:left="760" w:right="20" w:firstLine="7"/>
        <w:spacing w:after="0" w:line="246" w:lineRule="auto"/>
        <w:tabs>
          <w:tab w:leader="none" w:pos="10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of surety bonds in connection with financing activities,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amounts excluded from Consolidated Cash Interest Expense as set forth in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in the definition thereof); </w:t>
      </w:r>
      <w:r>
        <w:rPr>
          <w:rFonts w:ascii="Times New Roman" w:cs="Times New Roman" w:eastAsia="Times New Roman" w:hAnsi="Times New Roman"/>
          <w:sz w:val="20"/>
          <w:szCs w:val="20"/>
          <w:i w:val="1"/>
          <w:iCs w:val="1"/>
          <w:color w:val="auto"/>
        </w:rPr>
        <w:t>plus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020"/>
          </w:cols>
          <w:pgMar w:left="440" w:top="265" w:right="439" w:bottom="1440" w:gutter="0" w:footer="0" w:header="0"/>
        </w:sectPr>
      </w:pPr>
    </w:p>
    <w:bookmarkStart w:id="26" w:name="page27"/>
    <w:bookmarkEnd w:id="26"/>
    <w:p>
      <w:pPr>
        <w:jc w:val="both"/>
        <w:ind w:left="-7" w:right="20" w:firstLine="724"/>
        <w:spacing w:after="0" w:line="249" w:lineRule="auto"/>
        <w:tabs>
          <w:tab w:leader="none" w:pos="996"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total amount of depreciation and amortization expenses and capitalized fees, including, without limitation, the amortization of intangible assets, deferred financing costs, debt issuance costs, commissions, fees and expenses, and any capitalized software expenditures of the Borrower and its Restricted Subsidiaries for such period on a consolidated basis and otherwise determined in accordance with GAAP;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ind w:left="-7" w:firstLine="724"/>
        <w:spacing w:after="0" w:line="269" w:lineRule="auto"/>
        <w:tabs>
          <w:tab w:leader="none" w:pos="10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equity-based or non-cash compensation charges or expenses, including any such charges or expenses arising from grants of stock appreciation or similar rights, stock options, restricted stock or other rights; </w:t>
      </w:r>
      <w:r>
        <w:rPr>
          <w:rFonts w:ascii="Times New Roman" w:cs="Times New Roman" w:eastAsia="Times New Roman" w:hAnsi="Times New Roman"/>
          <w:sz w:val="20"/>
          <w:szCs w:val="20"/>
          <w:i w:val="1"/>
          <w:iCs w:val="1"/>
          <w:color w:val="auto"/>
        </w:rPr>
        <w:t>plus</w:t>
      </w:r>
    </w:p>
    <w:p>
      <w:pPr>
        <w:spacing w:after="0" w:line="159" w:lineRule="exact"/>
        <w:rPr>
          <w:rFonts w:ascii="Times New Roman" w:cs="Times New Roman" w:eastAsia="Times New Roman" w:hAnsi="Times New Roman"/>
          <w:sz w:val="20"/>
          <w:szCs w:val="20"/>
          <w:color w:val="auto"/>
        </w:rPr>
      </w:pPr>
    </w:p>
    <w:p>
      <w:pPr>
        <w:jc w:val="both"/>
        <w:ind w:left="-7" w:firstLine="724"/>
        <w:spacing w:after="0" w:line="245" w:lineRule="auto"/>
        <w:tabs>
          <w:tab w:leader="none" w:pos="98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non-cash charges, expenses or losses, including non-cash losses on the sale of assets and any write-offs or write-downs reducing Consolidated Net Income for such period and any non-cash expense relating to the vesting of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non-cash charges represent an accrual or reserve for potential cash items in any future period, (A) the Borrower may elect not to add back such non-cash charge in the current period and (B) to the extent the Borrower elects to add back such non-cash charge, the cash payment in respect thereof in such future period shall be subtracted from Consolidated EBITDA to such extent), and excluding amortization of a prepaid cash item that was paid in a prior period; </w:t>
      </w:r>
      <w:r>
        <w:rPr>
          <w:rFonts w:ascii="Times New Roman" w:cs="Times New Roman" w:eastAsia="Times New Roman" w:hAnsi="Times New Roman"/>
          <w:sz w:val="20"/>
          <w:szCs w:val="20"/>
          <w:i w:val="1"/>
          <w:iCs w:val="1"/>
          <w:color w:val="auto"/>
        </w:rPr>
        <w:t>plus</w:t>
      </w:r>
    </w:p>
    <w:p>
      <w:pPr>
        <w:spacing w:after="0" w:line="184"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965"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non-controlling interest or minority interest expense consisting of Subsidiary income attributable to non-controlling or minority equity interests of third parties in any non-wholly owned Subsidiary; </w:t>
      </w:r>
      <w:r>
        <w:rPr>
          <w:rFonts w:ascii="Times New Roman" w:cs="Times New Roman" w:eastAsia="Times New Roman" w:hAnsi="Times New Roman"/>
          <w:sz w:val="20"/>
          <w:szCs w:val="20"/>
          <w:i w:val="1"/>
          <w:iCs w:val="1"/>
          <w:color w:val="auto"/>
        </w:rPr>
        <w:t>plus</w:t>
      </w:r>
    </w:p>
    <w:p>
      <w:pPr>
        <w:spacing w:after="0" w:line="159" w:lineRule="exact"/>
        <w:rPr>
          <w:rFonts w:ascii="Times New Roman" w:cs="Times New Roman" w:eastAsia="Times New Roman" w:hAnsi="Times New Roman"/>
          <w:sz w:val="20"/>
          <w:szCs w:val="20"/>
          <w:color w:val="auto"/>
        </w:rPr>
      </w:pPr>
    </w:p>
    <w:p>
      <w:pPr>
        <w:jc w:val="both"/>
        <w:ind w:left="-7" w:firstLine="724"/>
        <w:spacing w:after="0" w:line="254" w:lineRule="auto"/>
        <w:tabs>
          <w:tab w:leader="none" w:pos="101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consulting, transaction, advisory and other fees (including termination fees) and indemnities, costs and expenses paid or accrued in such period to the Investors, the Borrower, any Permitted Holder or any Affiliate of a Permitted Holder, in each case, to the extent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70" w:lineRule="exact"/>
        <w:rPr>
          <w:rFonts w:ascii="Times New Roman" w:cs="Times New Roman" w:eastAsia="Times New Roman" w:hAnsi="Times New Roman"/>
          <w:sz w:val="20"/>
          <w:szCs w:val="20"/>
          <w:color w:val="auto"/>
        </w:rPr>
      </w:pPr>
    </w:p>
    <w:p>
      <w:pPr>
        <w:ind w:left="993" w:hanging="276"/>
        <w:spacing w:after="0"/>
        <w:tabs>
          <w:tab w:leader="none" w:pos="99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215" w:lineRule="exact"/>
        <w:rPr>
          <w:rFonts w:ascii="Times New Roman" w:cs="Times New Roman" w:eastAsia="Times New Roman" w:hAnsi="Times New Roman"/>
          <w:sz w:val="20"/>
          <w:szCs w:val="20"/>
          <w:color w:val="auto"/>
        </w:rPr>
      </w:pPr>
    </w:p>
    <w:p>
      <w:pPr>
        <w:ind w:left="953" w:hanging="236"/>
        <w:spacing w:after="0"/>
        <w:tabs>
          <w:tab w:leader="none" w:pos="95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loss or discount on sale of receivables, securitization assets and related assets; </w:t>
      </w:r>
      <w:r>
        <w:rPr>
          <w:rFonts w:ascii="Times New Roman" w:cs="Times New Roman" w:eastAsia="Times New Roman" w:hAnsi="Times New Roman"/>
          <w:sz w:val="20"/>
          <w:szCs w:val="20"/>
          <w:i w:val="1"/>
          <w:iCs w:val="1"/>
          <w:color w:val="auto"/>
        </w:rPr>
        <w:t>plus</w:t>
      </w:r>
    </w:p>
    <w:p>
      <w:pPr>
        <w:spacing w:after="0" w:line="215" w:lineRule="exact"/>
        <w:rPr>
          <w:rFonts w:ascii="Times New Roman" w:cs="Times New Roman" w:eastAsia="Times New Roman" w:hAnsi="Times New Roman"/>
          <w:sz w:val="20"/>
          <w:szCs w:val="20"/>
          <w:color w:val="auto"/>
        </w:rPr>
      </w:pPr>
    </w:p>
    <w:p>
      <w:pPr>
        <w:ind w:left="953" w:hanging="236"/>
        <w:spacing w:after="0"/>
        <w:tabs>
          <w:tab w:leader="none" w:pos="95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jc w:val="both"/>
        <w:ind w:left="-7" w:right="20" w:firstLine="724"/>
        <w:spacing w:after="0" w:line="254" w:lineRule="auto"/>
        <w:tabs>
          <w:tab w:leader="none" w:pos="101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 xml:space="preserve"> below for any previous period and not added back; </w:t>
      </w:r>
      <w:r>
        <w:rPr>
          <w:rFonts w:ascii="Times New Roman" w:cs="Times New Roman" w:eastAsia="Times New Roman" w:hAnsi="Times New Roman"/>
          <w:sz w:val="20"/>
          <w:szCs w:val="20"/>
          <w:i w:val="1"/>
          <w:iCs w:val="1"/>
          <w:color w:val="auto"/>
        </w:rPr>
        <w:t>plus</w:t>
      </w:r>
    </w:p>
    <w:p>
      <w:pPr>
        <w:spacing w:after="0" w:line="174" w:lineRule="exact"/>
        <w:rPr>
          <w:rFonts w:ascii="Times New Roman" w:cs="Times New Roman" w:eastAsia="Times New Roman" w:hAnsi="Times New Roman"/>
          <w:sz w:val="20"/>
          <w:szCs w:val="20"/>
          <w:color w:val="auto"/>
        </w:rPr>
      </w:pPr>
    </w:p>
    <w:p>
      <w:pPr>
        <w:ind w:left="973" w:hanging="256"/>
        <w:spacing w:after="0"/>
        <w:tabs>
          <w:tab w:leader="none" w:pos="973"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losses, charges, expenses, costs or other payments (including all fees, expenses or charges related thereto)</w:t>
      </w:r>
    </w:p>
    <w:p>
      <w:pPr>
        <w:spacing w:after="0" w:line="21" w:lineRule="exact"/>
        <w:rPr>
          <w:rFonts w:ascii="Times New Roman" w:cs="Times New Roman" w:eastAsia="Times New Roman" w:hAnsi="Times New Roman"/>
          <w:sz w:val="20"/>
          <w:szCs w:val="20"/>
          <w:color w:val="auto"/>
        </w:rPr>
      </w:pPr>
    </w:p>
    <w:p>
      <w:pPr>
        <w:jc w:val="both"/>
        <w:ind w:left="-7" w:firstLine="7"/>
        <w:spacing w:after="0" w:line="241" w:lineRule="auto"/>
        <w:tabs>
          <w:tab w:leader="none" w:pos="23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disposed, abandoned or discontinued operations, (ii) in respect of facilities no longer used or useful in the conduct of the business of the Borrower or its Restricted Subsidiaries, abandoned, closed, disposed or discontinued operations and any losses on disposal of abandoned, closed or discontinued operations and (iii) attributable to business dispositions or asset dispositions (other than in the ordinary course of business) as determined in good faith by the Borrower; </w:t>
      </w:r>
      <w:r>
        <w:rPr>
          <w:rFonts w:ascii="Times New Roman" w:cs="Times New Roman" w:eastAsia="Times New Roman" w:hAnsi="Times New Roman"/>
          <w:sz w:val="20"/>
          <w:szCs w:val="20"/>
          <w:i w:val="1"/>
          <w:iCs w:val="1"/>
          <w:color w:val="auto"/>
        </w:rPr>
        <w:t>plus</w:t>
      </w:r>
    </w:p>
    <w:p>
      <w:pPr>
        <w:spacing w:after="0" w:line="184" w:lineRule="exact"/>
        <w:rPr>
          <w:sz w:val="20"/>
          <w:szCs w:val="20"/>
          <w:color w:val="auto"/>
        </w:rPr>
      </w:pPr>
    </w:p>
    <w:p>
      <w:pPr>
        <w:ind w:left="833"/>
        <w:spacing w:after="0"/>
        <w:rPr>
          <w:sz w:val="20"/>
          <w:szCs w:val="20"/>
          <w:color w:val="auto"/>
        </w:rPr>
      </w:pPr>
      <w:r>
        <w:rPr>
          <w:rFonts w:ascii="Times New Roman" w:cs="Times New Roman" w:eastAsia="Times New Roman" w:hAnsi="Times New Roman"/>
          <w:sz w:val="20"/>
          <w:szCs w:val="20"/>
          <w:color w:val="auto"/>
        </w:rPr>
        <w:t xml:space="preserve">(m) [reserved]; </w:t>
      </w:r>
      <w:r>
        <w:rPr>
          <w:rFonts w:ascii="Times New Roman" w:cs="Times New Roman" w:eastAsia="Times New Roman" w:hAnsi="Times New Roman"/>
          <w:sz w:val="20"/>
          <w:szCs w:val="20"/>
          <w:i w:val="1"/>
          <w:iCs w:val="1"/>
          <w:color w:val="auto"/>
        </w:rPr>
        <w:t>plus</w:t>
      </w:r>
    </w:p>
    <w:p>
      <w:pPr>
        <w:spacing w:after="0" w:line="152" w:lineRule="exact"/>
        <w:rPr>
          <w:sz w:val="20"/>
          <w:szCs w:val="20"/>
          <w:color w:val="auto"/>
        </w:rPr>
      </w:pPr>
    </w:p>
    <w:p>
      <w:pPr>
        <w:ind w:left="4613"/>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253"/>
          </w:cols>
          <w:pgMar w:left="1207" w:top="265" w:right="439" w:bottom="1440" w:gutter="0" w:footer="0" w:header="0"/>
        </w:sectPr>
      </w:pPr>
    </w:p>
    <w:bookmarkStart w:id="27" w:name="page28"/>
    <w:bookmarkEnd w:id="27"/>
    <w:p>
      <w:pPr>
        <w:ind w:left="1760" w:hanging="276"/>
        <w:spacing w:after="0"/>
        <w:tabs>
          <w:tab w:leader="none" w:pos="17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[reserved]; </w:t>
      </w:r>
      <w:r>
        <w:rPr>
          <w:rFonts w:ascii="Times New Roman" w:cs="Times New Roman" w:eastAsia="Times New Roman" w:hAnsi="Times New Roman"/>
          <w:sz w:val="20"/>
          <w:szCs w:val="20"/>
          <w:i w:val="1"/>
          <w:iCs w:val="1"/>
          <w:color w:val="auto"/>
        </w:rPr>
        <w:t>plus</w:t>
      </w:r>
    </w:p>
    <w:p>
      <w:pPr>
        <w:spacing w:after="0" w:line="21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gains or losses arising from embedded derivatives in the customer contracts of the Borrower or a Restricted Subsidiary; </w:t>
      </w:r>
      <w:r>
        <w:rPr>
          <w:rFonts w:ascii="Times New Roman" w:cs="Times New Roman" w:eastAsia="Times New Roman" w:hAnsi="Times New Roman"/>
          <w:sz w:val="20"/>
          <w:szCs w:val="20"/>
          <w:i w:val="1"/>
          <w:iCs w:val="1"/>
          <w:color w:val="auto"/>
        </w:rPr>
        <w:t>plus</w:t>
      </w:r>
    </w:p>
    <w:p>
      <w:pPr>
        <w:spacing w:after="0" w:line="159" w:lineRule="exact"/>
        <w:rPr>
          <w:sz w:val="20"/>
          <w:szCs w:val="20"/>
          <w:color w:val="auto"/>
        </w:rPr>
      </w:pPr>
    </w:p>
    <w:p>
      <w:pPr>
        <w:ind w:left="760" w:firstLine="724"/>
        <w:spacing w:after="0" w:line="269" w:lineRule="auto"/>
        <w:tabs>
          <w:tab w:leader="none" w:pos="177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(without duplication) by the following, in each case to the extent included in determining Consolidated Net Income for such period:</w:t>
      </w:r>
    </w:p>
    <w:p>
      <w:pPr>
        <w:spacing w:after="0" w:line="159" w:lineRule="exact"/>
        <w:rPr>
          <w:sz w:val="20"/>
          <w:szCs w:val="20"/>
          <w:color w:val="auto"/>
        </w:rPr>
      </w:pPr>
    </w:p>
    <w:p>
      <w:pPr>
        <w:jc w:val="both"/>
        <w:ind w:left="760" w:firstLine="724"/>
        <w:spacing w:after="0" w:line="249" w:lineRule="auto"/>
        <w:tabs>
          <w:tab w:leader="none" w:pos="17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gains (including non-cash gains on the sale of assets) increasing Consolidated Net Income of the Borrower for 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Times New Roman" w:cs="Times New Roman" w:eastAsia="Times New Roman" w:hAnsi="Times New Roman"/>
          <w:sz w:val="20"/>
          <w:szCs w:val="20"/>
          <w:i w:val="1"/>
          <w:iCs w:val="1"/>
          <w:color w:val="auto"/>
        </w:rPr>
        <w:t>plus</w:t>
      </w:r>
    </w:p>
    <w:p>
      <w:pPr>
        <w:spacing w:after="0" w:line="179" w:lineRule="exact"/>
        <w:rPr>
          <w:rFonts w:ascii="Times New Roman" w:cs="Times New Roman" w:eastAsia="Times New Roman" w:hAnsi="Times New Roman"/>
          <w:sz w:val="20"/>
          <w:szCs w:val="20"/>
          <w:color w:val="auto"/>
        </w:rPr>
      </w:pPr>
    </w:p>
    <w:p>
      <w:pPr>
        <w:ind w:left="760" w:right="20" w:firstLine="724"/>
        <w:spacing w:after="0" w:line="295" w:lineRule="auto"/>
        <w:tabs>
          <w:tab w:leader="none" w:pos="1762"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net income from disposed, abandoned, closed or discontinued operations or attributable to business dispositions or asset dispositions (other than in the ordinary course of business) as determined in good faith by the Borrower; </w:t>
      </w:r>
      <w:r>
        <w:rPr>
          <w:rFonts w:ascii="Times New Roman" w:cs="Times New Roman" w:eastAsia="Times New Roman" w:hAnsi="Times New Roman"/>
          <w:sz w:val="19"/>
          <w:szCs w:val="19"/>
          <w:i w:val="1"/>
          <w:iCs w:val="1"/>
          <w:color w:val="auto"/>
        </w:rPr>
        <w:t>plus</w:t>
      </w:r>
    </w:p>
    <w:p>
      <w:pPr>
        <w:spacing w:after="0" w:line="137" w:lineRule="exact"/>
        <w:rPr>
          <w:rFonts w:ascii="Times New Roman" w:cs="Times New Roman" w:eastAsia="Times New Roman" w:hAnsi="Times New Roman"/>
          <w:sz w:val="19"/>
          <w:szCs w:val="19"/>
          <w:color w:val="auto"/>
        </w:rPr>
      </w:pPr>
    </w:p>
    <w:p>
      <w:pPr>
        <w:ind w:left="760" w:right="20" w:firstLine="724"/>
        <w:spacing w:after="0" w:line="269" w:lineRule="auto"/>
        <w:tabs>
          <w:tab w:leader="none" w:pos="175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not otherwise resulting in a reduction in the Consolidated Net Income of the Borrower for such period, the amount of Restricted Payments made pursuant to </w:t>
      </w:r>
      <w:r>
        <w:rPr>
          <w:rFonts w:ascii="Times New Roman" w:cs="Times New Roman" w:eastAsia="Times New Roman" w:hAnsi="Times New Roman"/>
          <w:sz w:val="20"/>
          <w:szCs w:val="20"/>
          <w:u w:val="single" w:color="auto"/>
          <w:color w:val="auto"/>
        </w:rPr>
        <w:t>Section 6.05(f)(i)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71"/>
        <w:spacing w:after="0" w:line="241" w:lineRule="auto"/>
        <w:rPr>
          <w:sz w:val="20"/>
          <w:szCs w:val="20"/>
          <w:color w:val="auto"/>
        </w:rPr>
      </w:pPr>
      <w:r>
        <w:rPr>
          <w:rFonts w:ascii="Times New Roman" w:cs="Times New Roman" w:eastAsia="Times New Roman" w:hAnsi="Times New Roman"/>
          <w:sz w:val="20"/>
          <w:szCs w:val="20"/>
          <w:color w:val="auto"/>
        </w:rPr>
        <w:t>There shall be included in determining Consolidated EBITDA for any period, without duplication (which shall, for the avoidance of doubt, be calculated on a Pro Forma Basis), (A) the Acquired EBITDA of any Person, property, business or asset acquired by the Borrower or any Restricted Subsidiary during such period (but not the Acquired EBITDA of any related Person, property, business or assets to the extent not so acquired), to the extent not subsequently sold, transferred or otherwise disposed by the Borrower or such Restricted Subsidiary during such period (each such Person, property, business or asset acquired and not subsequently so disposed of, an “</w:t>
      </w:r>
      <w:r>
        <w:rPr>
          <w:rFonts w:ascii="Times New Roman" w:cs="Times New Roman" w:eastAsia="Times New Roman" w:hAnsi="Times New Roman"/>
          <w:sz w:val="20"/>
          <w:szCs w:val="20"/>
          <w:u w:val="single" w:color="auto"/>
          <w:color w:val="auto"/>
        </w:rPr>
        <w:t>Acquired Entity or Business</w:t>
      </w:r>
      <w:r>
        <w:rPr>
          <w:rFonts w:ascii="Times New Roman" w:cs="Times New Roman" w:eastAsia="Times New Roman" w:hAnsi="Times New Roman"/>
          <w:sz w:val="20"/>
          <w:szCs w:val="20"/>
          <w:color w:val="auto"/>
        </w:rPr>
        <w:t>”) and the Acquired EBITDA of any Unrestricted Subsidiary that is converted into a Restricted Subsidiary during such period (each, a “</w:t>
      </w:r>
      <w:r>
        <w:rPr>
          <w:rFonts w:ascii="Times New Roman" w:cs="Times New Roman" w:eastAsia="Times New Roman" w:hAnsi="Times New Roman"/>
          <w:sz w:val="20"/>
          <w:szCs w:val="20"/>
          <w:u w:val="single" w:color="auto"/>
          <w:color w:val="auto"/>
        </w:rPr>
        <w:t>Converted Restricted Subsidiary</w:t>
      </w:r>
      <w:r>
        <w:rPr>
          <w:rFonts w:ascii="Times New Roman" w:cs="Times New Roman" w:eastAsia="Times New Roman" w:hAnsi="Times New Roman"/>
          <w:sz w:val="20"/>
          <w:szCs w:val="20"/>
          <w:color w:val="auto"/>
        </w:rPr>
        <w:t>”), based on the actual Acquired EBITDA of such Acquired Entity or Business or Converted Restricted Subsidiary for such period (including the portion thereof occurring prior to such acquisition) and (B) for the purposes of compliance with the Financial Covenants, an adjustment in respect of each Acquired Entity or Business equal to the amount of the Pro Forma Adjustment with respect to such Acquired Entity or Business for such period (including the portion thereof occurring prior to such acquisition) as specified in a certificate executed by a Responsible Officer and delivered to the Administrative Agent. There shall be excluded in determining Consolidated EBITDA for any period the Disposed EBITDA of any Person, property, business or asset (other than an Unrestricted Subsidiary) sold, transferred or otherwise disposed of or, closed or classified as discontinued operations (but if such operations are classified as discontinued due to the fact that they are subject to an agreement to dispose of such operations, only when and to the extent such operations are actually disposed of) by the Borrower or any Restricted Subsidiary during such period (each such Person, property, business or asset so sold or disposed of, a “</w:t>
      </w:r>
      <w:r>
        <w:rPr>
          <w:rFonts w:ascii="Times New Roman" w:cs="Times New Roman" w:eastAsia="Times New Roman" w:hAnsi="Times New Roman"/>
          <w:sz w:val="20"/>
          <w:szCs w:val="20"/>
          <w:u w:val="single" w:color="auto"/>
          <w:color w:val="auto"/>
        </w:rPr>
        <w:t>Sold Entity or Business</w:t>
      </w:r>
      <w:r>
        <w:rPr>
          <w:rFonts w:ascii="Times New Roman" w:cs="Times New Roman" w:eastAsia="Times New Roman" w:hAnsi="Times New Roman"/>
          <w:sz w:val="20"/>
          <w:szCs w:val="20"/>
          <w:color w:val="auto"/>
        </w:rPr>
        <w:t>”) and the Disposed EBITDA of any Restricted Subsidiary that is converted into an Unrestricted Subsidiary during such period (each a “</w:t>
      </w:r>
      <w:r>
        <w:rPr>
          <w:rFonts w:ascii="Times New Roman" w:cs="Times New Roman" w:eastAsia="Times New Roman" w:hAnsi="Times New Roman"/>
          <w:sz w:val="20"/>
          <w:szCs w:val="20"/>
          <w:u w:val="single" w:color="auto"/>
          <w:color w:val="auto"/>
        </w:rPr>
        <w:t>Converted Unrestricted Subsidiary</w:t>
      </w:r>
      <w:r>
        <w:rPr>
          <w:rFonts w:ascii="Times New Roman" w:cs="Times New Roman" w:eastAsia="Times New Roman" w:hAnsi="Times New Roman"/>
          <w:sz w:val="20"/>
          <w:szCs w:val="20"/>
          <w:color w:val="auto"/>
        </w:rPr>
        <w:t>”), based on the actual Disposed EBITDA of such Sold Entity or Business or Converted Unrestricted Subsidiary for such period (including the portion thereof occurring prior to such sale, transfer or disposition).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020"/>
          </w:cols>
          <w:pgMar w:left="440" w:top="261" w:right="439" w:bottom="1440" w:gutter="0" w:footer="0" w:header="0"/>
        </w:sectPr>
      </w:pPr>
    </w:p>
    <w:bookmarkStart w:id="28" w:name="page29"/>
    <w:bookmarkEnd w:id="28"/>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contained herein, for purposes of determining Consolidated EBITDA under this Agreement for any period that includes any of the fiscal quarters ended on March 31, 2018 and June 30, 2018, September 30, 2018, and December 31, 2018, Consolidated EBITDA for such fiscal quarters shall be as set forth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as may be subject to any adjustment set forth in the immediately preceding paragraph for any four-quarter period with respect to any acquisitions, dispositions or conversions occurring after the Closing Date.</w:t>
      </w:r>
    </w:p>
    <w:p>
      <w:pPr>
        <w:spacing w:after="0" w:line="185"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for any period, the net income (loss) of the Borrower and the Restricted Subsidiaries for such period determined on a consolidated basis, and otherwise determined in accordance with GAAP and before any reduction in respect of preferred stock dividends;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without duplication,</w:t>
      </w:r>
    </w:p>
    <w:p>
      <w:pPr>
        <w:spacing w:after="0" w:line="66" w:lineRule="exact"/>
        <w:rPr>
          <w:sz w:val="20"/>
          <w:szCs w:val="20"/>
          <w:color w:val="auto"/>
        </w:rPr>
      </w:pPr>
    </w:p>
    <w:p>
      <w:pPr>
        <w:jc w:val="both"/>
        <w:ind w:left="760" w:firstLine="724"/>
        <w:spacing w:after="0" w:line="241" w:lineRule="auto"/>
        <w:tabs>
          <w:tab w:leader="none" w:pos="175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after-Tax effect of extraordinary, exceptional, unusual or nonrecurring gains or losses less all fees and expenses relating thereto (including any extraordinary, exceptional, unusual or nonrecurring operating expenses directly attributable to the implementation of cost savings initiatives and any accruals or reserves in respect of any extraordinary, exceptional unusual or nonrecurring items, charges or expenses (including relating to any multi-year strategic initiatives), Transaction Costs, restructuring and duplicative running costs, restructuring charges or reserves, relocation costs, start-up or initial costs for any project or new production line, division or new line of business, integration and facilities opening costs, facility consolidation and closing costs, severance costs and expenses, one-time charges (including compensation charges), costs relating to pre-opening, opening and conversion costs for facilities, losses, costs or cost inefficiencies related to facility or property disruptions or shutdowns, signing, retention and completion bonuses, recruiting costs, costs incurred in connection with any strategic initiatives, transition costs, litigation and arbitration costs and charges, expenses in connection with one-time rate changes, costs incurred in connection with acquisitions, investments and dispositions (including travel and out-of-pocket costs, professional fees for legal, accounting and other services, human resources costs (including relocation bonuses), litigation and arbitration costs, charges, fees and expenses (including settlements), management transition costs, advertising costs, losses associated with temporary decreases in work volume and expenses related to maintaining underutilized personnel) and non-recurring product and IP Rights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shall be excluded;</w:t>
      </w:r>
    </w:p>
    <w:p>
      <w:pPr>
        <w:spacing w:after="0" w:line="188"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Borrower with respect to any quarterly period, the cumulative after-Tax effect of a change in accounting principles and changes as a result of the adoption or modification of accounting policies shall be excluded;</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effect of gains or losses on disposal, abandonment or discontinuance of disposed, abandoned or discontinued operations, as applicable, shall be excluded;</w:t>
      </w:r>
    </w:p>
    <w:p>
      <w:pPr>
        <w:spacing w:after="0" w:line="159" w:lineRule="exact"/>
        <w:rPr>
          <w:rFonts w:ascii="Times New Roman" w:cs="Times New Roman" w:eastAsia="Times New Roman" w:hAnsi="Times New Roman"/>
          <w:sz w:val="20"/>
          <w:szCs w:val="20"/>
          <w:color w:val="auto"/>
        </w:rPr>
      </w:pPr>
    </w:p>
    <w:p>
      <w:pPr>
        <w:ind w:left="760" w:firstLine="724"/>
        <w:spacing w:after="0" w:line="269" w:lineRule="auto"/>
        <w:tabs>
          <w:tab w:leader="none" w:pos="177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after-Tax effect of gains or losses (less all fees, expenses and charges relating thereto) attributable to asset dispositions or abandonments or the sale or other disposition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020"/>
          </w:cols>
          <w:pgMar w:left="440" w:top="26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any Equity Interests of any Person other than in the ordinary course of business shall be excluded;</w:t>
      </w:r>
    </w:p>
    <w:p>
      <w:pPr>
        <w:spacing w:after="0" w:line="216" w:lineRule="exact"/>
        <w:rPr>
          <w:sz w:val="20"/>
          <w:szCs w:val="20"/>
          <w:color w:val="auto"/>
        </w:rPr>
      </w:pPr>
    </w:p>
    <w:p>
      <w:pPr>
        <w:jc w:val="both"/>
        <w:ind w:firstLine="724"/>
        <w:spacing w:after="0" w:line="246" w:lineRule="auto"/>
        <w:tabs>
          <w:tab w:leader="none" w:pos="1025"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net income for such period of any Person that is not a Subsidiary of the Borrower, or is an Unrestricted Subsidiary, or that is accounted for by the equity method of accounting shall be excluded;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Net Income of the Borrower shall be increased by the amount of dividends or distributions or other payments that are actually paid in cash or Cash Equivalents (or to the extent converted, or having the ability to be converted, into cash or Cash Equivalents) to the Borrower or a Restricted Subsidiary thereof in respect of such period;</w:t>
      </w:r>
    </w:p>
    <w:p>
      <w:pPr>
        <w:spacing w:after="0" w:line="184" w:lineRule="exact"/>
        <w:rPr>
          <w:rFonts w:ascii="Times New Roman" w:cs="Times New Roman" w:eastAsia="Times New Roman" w:hAnsi="Times New Roman"/>
          <w:sz w:val="20"/>
          <w:szCs w:val="20"/>
          <w:color w:val="auto"/>
        </w:rPr>
      </w:pPr>
    </w:p>
    <w:p>
      <w:pPr>
        <w:ind w:left="980" w:hanging="256"/>
        <w:spacing w:after="0"/>
        <w:tabs>
          <w:tab w:leader="none" w:pos="9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724"/>
        <w:spacing w:after="0" w:line="243" w:lineRule="auto"/>
        <w:tabs>
          <w:tab w:leader="none" w:pos="101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effects of adjustments (including the effects of such adjustments pushed down to the Borrower and its Restricted Subsidiaries) in the Borrower’s (or any parent company’s (including Public Company Parent)) consolidated financial statements pursuant to GAAP (including in the inventory (including any impact of changes to inventory valuation policy methods, including changes in capitalization of variances), property and equipment, software, loans and leases, goodwill, intangible assets, in-process research and development, deferred revenue and debt line items thereof) resulting from the application of recapitalization accounting or purchase accounting, as the case may be, in relation to the Transactions or any consummated acquisition or joint venture investment or the amortization or write-off or write-down of any amounts thereof, net of taxes, shall be excluded;</w:t>
      </w:r>
    </w:p>
    <w:p>
      <w:pPr>
        <w:spacing w:after="0" w:line="189" w:lineRule="exact"/>
        <w:rPr>
          <w:rFonts w:ascii="Times New Roman" w:cs="Times New Roman" w:eastAsia="Times New Roman" w:hAnsi="Times New Roman"/>
          <w:sz w:val="20"/>
          <w:szCs w:val="20"/>
          <w:color w:val="auto"/>
        </w:rPr>
      </w:pPr>
    </w:p>
    <w:p>
      <w:pPr>
        <w:ind w:right="20" w:firstLine="724"/>
        <w:spacing w:after="0" w:line="269" w:lineRule="auto"/>
        <w:tabs>
          <w:tab w:leader="none" w:pos="105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after-Tax effect of income (loss) from the extinguishment or conversion of (i) Indebtedness, (ii) Swap Obligations or (iii) other derivative instruments shall be excluded;</w:t>
      </w:r>
    </w:p>
    <w:p>
      <w:pPr>
        <w:spacing w:after="0" w:line="159" w:lineRule="exact"/>
        <w:rPr>
          <w:rFonts w:ascii="Times New Roman" w:cs="Times New Roman" w:eastAsia="Times New Roman" w:hAnsi="Times New Roman"/>
          <w:sz w:val="20"/>
          <w:szCs w:val="20"/>
          <w:color w:val="auto"/>
        </w:rPr>
      </w:pPr>
    </w:p>
    <w:p>
      <w:pPr>
        <w:jc w:val="both"/>
        <w:ind w:firstLine="724"/>
        <w:spacing w:after="0" w:line="249" w:lineRule="auto"/>
        <w:tabs>
          <w:tab w:leader="none" w:pos="96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impairment charge or asset write-off or write-down, including impairment charges or asset write-offs or write-downs related to intangible assets, long-lived assets, investments in debt and equity securities and investments recorded using the equity method or as a result of a change in law or regulation, in each case, pursuant to GAAP, and the amortization of intangibles arising pursuant to GAAP shall be excluded;</w:t>
      </w:r>
    </w:p>
    <w:p>
      <w:pPr>
        <w:spacing w:after="0" w:line="179" w:lineRule="exact"/>
        <w:rPr>
          <w:rFonts w:ascii="Times New Roman" w:cs="Times New Roman" w:eastAsia="Times New Roman" w:hAnsi="Times New Roman"/>
          <w:sz w:val="20"/>
          <w:szCs w:val="20"/>
          <w:color w:val="auto"/>
        </w:rPr>
      </w:pPr>
    </w:p>
    <w:p>
      <w:pPr>
        <w:jc w:val="both"/>
        <w:ind w:firstLine="724"/>
        <w:spacing w:after="0" w:line="242" w:lineRule="auto"/>
        <w:tabs>
          <w:tab w:leader="none" w:pos="95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equity-based or non-cash compensation or similar charge or expense or reduction of revenue including any such charge, expense or amount arising from grants of stock appreciation or similar rights, stock options, restricted stock, profits interests or other rights or equity or equity-based incentive programs (“</w:t>
      </w:r>
      <w:r>
        <w:rPr>
          <w:rFonts w:ascii="Times New Roman" w:cs="Times New Roman" w:eastAsia="Times New Roman" w:hAnsi="Times New Roman"/>
          <w:sz w:val="20"/>
          <w:szCs w:val="20"/>
          <w:u w:val="single" w:color="auto"/>
          <w:color w:val="auto"/>
        </w:rPr>
        <w:t>equity incentives</w:t>
      </w:r>
      <w:r>
        <w:rPr>
          <w:rFonts w:ascii="Times New Roman" w:cs="Times New Roman" w:eastAsia="Times New Roman" w:hAnsi="Times New Roman"/>
          <w:sz w:val="20"/>
          <w:szCs w:val="20"/>
          <w:color w:val="auto"/>
        </w:rPr>
        <w:t>”), any one-time cash charges associated with the equity incentives or other long-term incentive compensation plans (including under deferred compensation arrangements of the Borrower or any of its direct or indirect parent entities (including Public Company Parent) or subsidiaries), rollover, acceleration, or payout of Equity Interests by management, future, present or former employees, directors, officers, managers, members, partners, independent contractors or consultants or business partners of the Borrower or any of its direct or indirect parent entities (including Public Company Parent) or subsidiaries, and any cash awards granted to future, present or former employees, directors, officers, managers, members, partners, independent contractors or consultants or business partners of the Borrower and its Subsidiaries in replacement for forfeited equity awards, shall be excluded;</w:t>
      </w:r>
    </w:p>
    <w:p>
      <w:pPr>
        <w:spacing w:after="0" w:line="192" w:lineRule="exact"/>
        <w:rPr>
          <w:rFonts w:ascii="Times New Roman" w:cs="Times New Roman" w:eastAsia="Times New Roman" w:hAnsi="Times New Roman"/>
          <w:sz w:val="20"/>
          <w:szCs w:val="20"/>
          <w:color w:val="auto"/>
        </w:rPr>
      </w:pPr>
    </w:p>
    <w:p>
      <w:pPr>
        <w:ind w:right="20" w:firstLine="724"/>
        <w:spacing w:after="0" w:line="269" w:lineRule="auto"/>
        <w:tabs>
          <w:tab w:leader="none" w:pos="105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expenses or charges incurred during such period, or any amortization thereof for such period, in connection with any acquisition, recapitalization, investment, asset</w:t>
      </w:r>
    </w:p>
    <w:p>
      <w:pPr>
        <w:spacing w:after="0" w:line="9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260"/>
          </w:cols>
          <w:pgMar w:left="1200" w:top="265" w:right="439" w:bottom="1440" w:gutter="0" w:footer="0" w:header="0"/>
        </w:sectPr>
      </w:pPr>
    </w:p>
    <w:bookmarkStart w:id="30" w:name="page31"/>
    <w:bookmarkEnd w:id="30"/>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disposition, incurrence or repayment of Indebtedness, issuance of Equity Interests of the Borrower or its direct or indirect parent entities (including Public Company Parent), refinancing transaction or amendment or modification of any debt instrument and including, in each case, any such transaction consummated on or prior to the Closing Date and any such transaction undertaken but not completed, and any charges or non-recurring merger costs incurred during such period as a result of any such transaction, in each case whether or not successful or consummated (including, for the avoidance of doubt the effects of expensing all transaction related expenses in accordance with Financial Accounting Standards Board Accounting Standards Codification Topic No. 805, Business Combinations), shall be excluded;</w:t>
      </w:r>
    </w:p>
    <w:p>
      <w:pPr>
        <w:spacing w:after="0" w:line="186" w:lineRule="exact"/>
        <w:rPr>
          <w:sz w:val="20"/>
          <w:szCs w:val="20"/>
          <w:color w:val="auto"/>
        </w:rPr>
      </w:pPr>
    </w:p>
    <w:p>
      <w:pPr>
        <w:jc w:val="both"/>
        <w:ind w:right="20" w:firstLine="724"/>
        <w:spacing w:after="0" w:line="254" w:lineRule="auto"/>
        <w:tabs>
          <w:tab w:leader="none" w:pos="9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accruals and reserves that are established or adjusted in connection with the Transactions or within 24 months after the closing of any acquisition that are so required to be established or adjusted as a result of such acquisition in accordance with GAAP or changes as a result of modifications of accounting policies shall be excluded;</w:t>
      </w:r>
    </w:p>
    <w:p>
      <w:pPr>
        <w:spacing w:after="0" w:line="174" w:lineRule="exact"/>
        <w:rPr>
          <w:rFonts w:ascii="Times New Roman" w:cs="Times New Roman" w:eastAsia="Times New Roman" w:hAnsi="Times New Roman"/>
          <w:sz w:val="20"/>
          <w:szCs w:val="20"/>
          <w:color w:val="auto"/>
        </w:rPr>
      </w:pPr>
    </w:p>
    <w:p>
      <w:pPr>
        <w:jc w:val="both"/>
        <w:ind w:firstLine="724"/>
        <w:spacing w:after="0" w:line="246" w:lineRule="auto"/>
        <w:tabs>
          <w:tab w:leader="none" w:pos="1052"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expenses, charges or losses to the extent covered by insurance or indemnity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(net of any amount so added back in any prior period to the extent not so reimbursed within the applicable 365-day period), shall be excluded;</w:t>
      </w:r>
    </w:p>
    <w:p>
      <w:pPr>
        <w:spacing w:after="0" w:line="184" w:lineRule="exact"/>
        <w:rPr>
          <w:rFonts w:ascii="Times New Roman" w:cs="Times New Roman" w:eastAsia="Times New Roman" w:hAnsi="Times New Roman"/>
          <w:sz w:val="20"/>
          <w:szCs w:val="20"/>
          <w:color w:val="auto"/>
        </w:rPr>
      </w:pPr>
    </w:p>
    <w:p>
      <w:pPr>
        <w:ind w:firstLine="724"/>
        <w:spacing w:after="0" w:line="269" w:lineRule="auto"/>
        <w:tabs>
          <w:tab w:leader="none" w:pos="102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compensation expense resulting from the application of Accounting Standards Codification Topic No. 718, Compensation—Stock Compensation, shall be excluded;</w:t>
      </w:r>
    </w:p>
    <w:p>
      <w:pPr>
        <w:spacing w:after="0" w:line="159" w:lineRule="exact"/>
        <w:rPr>
          <w:rFonts w:ascii="Times New Roman" w:cs="Times New Roman" w:eastAsia="Times New Roman" w:hAnsi="Times New Roman"/>
          <w:sz w:val="20"/>
          <w:szCs w:val="20"/>
          <w:color w:val="auto"/>
        </w:rPr>
      </w:pPr>
    </w:p>
    <w:p>
      <w:pPr>
        <w:ind w:left="1000" w:hanging="276"/>
        <w:spacing w:after="0"/>
        <w:tabs>
          <w:tab w:leader="none" w:pos="10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000" w:hanging="276"/>
        <w:spacing w:after="0"/>
        <w:tabs>
          <w:tab w:leader="none" w:pos="10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items shall be excluded:</w:t>
      </w:r>
    </w:p>
    <w:p>
      <w:pPr>
        <w:spacing w:after="0" w:line="215" w:lineRule="exact"/>
        <w:rPr>
          <w:rFonts w:ascii="Times New Roman" w:cs="Times New Roman" w:eastAsia="Times New Roman" w:hAnsi="Times New Roman"/>
          <w:sz w:val="20"/>
          <w:szCs w:val="20"/>
          <w:color w:val="auto"/>
        </w:rPr>
      </w:pPr>
    </w:p>
    <w:p>
      <w:pPr>
        <w:ind w:left="780" w:right="20" w:firstLine="472"/>
        <w:spacing w:after="0" w:line="269" w:lineRule="auto"/>
        <w:tabs>
          <w:tab w:leader="none" w:pos="1520"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net gain or loss (after any offset) resulting in such period from Swap Obligations and the application of Accounting Standards Codification Topic No. 815, Derivatives and Hedging,</w:t>
      </w:r>
    </w:p>
    <w:p>
      <w:pPr>
        <w:spacing w:after="0" w:line="159" w:lineRule="exact"/>
        <w:rPr>
          <w:rFonts w:ascii="Times New Roman" w:cs="Times New Roman" w:eastAsia="Times New Roman" w:hAnsi="Times New Roman"/>
          <w:sz w:val="20"/>
          <w:szCs w:val="20"/>
          <w:color w:val="auto"/>
        </w:rPr>
      </w:pPr>
    </w:p>
    <w:p>
      <w:pPr>
        <w:jc w:val="both"/>
        <w:ind w:left="780" w:right="20" w:firstLine="472"/>
        <w:spacing w:after="0" w:line="249" w:lineRule="auto"/>
        <w:tabs>
          <w:tab w:leader="none" w:pos="1559"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net gain or loss (after any offset) resulting in such period from currency translation gains or losses including those related to currency remeasurements of Indebtedness (including any net gain or loss resulting from Swap Obligations for currency exchange risk) and any other foreign currency translation gains and losses to the extent such gains or losses are non-cash items,</w:t>
      </w:r>
    </w:p>
    <w:p>
      <w:pPr>
        <w:spacing w:after="0" w:line="179" w:lineRule="exact"/>
        <w:rPr>
          <w:rFonts w:ascii="Times New Roman" w:cs="Times New Roman" w:eastAsia="Times New Roman" w:hAnsi="Times New Roman"/>
          <w:sz w:val="20"/>
          <w:szCs w:val="20"/>
          <w:color w:val="auto"/>
        </w:rPr>
      </w:pPr>
    </w:p>
    <w:p>
      <w:pPr>
        <w:jc w:val="both"/>
        <w:ind w:left="780" w:firstLine="472"/>
        <w:spacing w:after="0" w:line="254" w:lineRule="auto"/>
        <w:tabs>
          <w:tab w:leader="none" w:pos="1615"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election of the Borrower with respect to any quarterly period, effects of adjustments to accruals and reserves during a prior period relating to any change in the methodology of calculating reserves for returns, rebates and other chargebacks, and</w:t>
      </w:r>
    </w:p>
    <w:p>
      <w:pPr>
        <w:spacing w:after="0" w:line="174" w:lineRule="exact"/>
        <w:rPr>
          <w:rFonts w:ascii="Times New Roman" w:cs="Times New Roman" w:eastAsia="Times New Roman" w:hAnsi="Times New Roman"/>
          <w:sz w:val="20"/>
          <w:szCs w:val="20"/>
          <w:color w:val="auto"/>
        </w:rPr>
      </w:pPr>
    </w:p>
    <w:p>
      <w:pPr>
        <w:ind w:left="780" w:right="20" w:firstLine="472"/>
        <w:spacing w:after="0" w:line="269" w:lineRule="auto"/>
        <w:tabs>
          <w:tab w:leader="none" w:pos="1617"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earn-out, non-compete and contingent consideration obligations (including to the extent accounted for as bonuses or otherwise) and adjustments thereof and purchase price adjustments; and</w:t>
      </w:r>
    </w:p>
    <w:p>
      <w:pPr>
        <w:spacing w:after="0" w:line="9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260"/>
          </w:cols>
          <w:pgMar w:left="1200" w:top="265" w:right="439" w:bottom="1440" w:gutter="0" w:footer="0" w:header="0"/>
        </w:sectPr>
      </w:pPr>
    </w:p>
    <w:bookmarkStart w:id="31" w:name="page32"/>
    <w:bookmarkEnd w:id="31"/>
    <w:p>
      <w:pPr>
        <w:jc w:val="both"/>
        <w:ind w:left="760" w:right="20" w:firstLine="724"/>
        <w:spacing w:after="0" w:line="246" w:lineRule="auto"/>
        <w:tabs>
          <w:tab w:leader="none" w:pos="179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such Person is treated as a disregarded entity or partnership for U.S. federal, state and/or local income tax purposes for such period or any portion thereof, the amount of distributions actually made to any direct or indirect parent company (including Public Company Parent) in respect of the Borrower of such Person in respect of such period in accordance with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shall be included in calculating Consolidated Net Income as though such amounts had been paid as taxes directly by such Person for such period.</w:t>
      </w:r>
    </w:p>
    <w:p>
      <w:pPr>
        <w:spacing w:after="0" w:line="185"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In addition, to the extent not already included in the Consolidated Net Income of the Borrower and its Restricted Subsidiaries, notwithstanding anything to the contrary in the foregoing, Consolidated Net Income shall include the amount of proceeds received or due from business interruption insurance and reimbursements of any expenses and charges that are covered by indemnification or other reimbursement provisions in connection with any acquisition, investment or any sale, conveyance, transfer or other disposition of assets permitted under this Agreement.</w:t>
      </w:r>
    </w:p>
    <w:p>
      <w:pPr>
        <w:spacing w:after="0" w:line="185"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Investment Affiliate</w:t>
      </w:r>
      <w:r>
        <w:rPr>
          <w:rFonts w:ascii="Times New Roman" w:cs="Times New Roman" w:eastAsia="Times New Roman" w:hAnsi="Times New Roman"/>
          <w:sz w:val="20"/>
          <w:szCs w:val="20"/>
          <w:color w:val="auto"/>
        </w:rPr>
        <w:t>” means, as to any Person, any other Person, other than the Investors, which directly or indirectly is in control of, is controlled by, or is under common control with such Person and is organized by such Person (or any Person controlling such Person) primarily for making direct or indirect equity or debt investments in the Borrower and/or other companies.</w:t>
      </w:r>
    </w:p>
    <w:p>
      <w:pPr>
        <w:spacing w:after="0" w:line="174"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CPPIB Funds</w:t>
      </w:r>
      <w:r>
        <w:rPr>
          <w:rFonts w:ascii="Times New Roman" w:cs="Times New Roman" w:eastAsia="Times New Roman" w:hAnsi="Times New Roman"/>
          <w:sz w:val="20"/>
          <w:szCs w:val="20"/>
          <w:color w:val="auto"/>
        </w:rPr>
        <w:t>” means, individually or collectively, any investment fund, co-investment vehicles and/or other similar vehicles or accounts, in each case managed or advised by an Affiliate of the Canadian Pension Plan Investment Board, or any of their respective successors.</w:t>
      </w:r>
    </w:p>
    <w:p>
      <w:pPr>
        <w:spacing w:after="0" w:line="17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“Daily Simple RFR Borrowing” means, as to any Borrowing, the Loans bearing interest at a rate based on Adjusted Daily Simple RFR comprising such Borrowing.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“Daily Simple RFR Loan” means a Loan that bears interest at a rate based on Adjusted Daily Simple RFR.</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upon notice, lapse of time or both would, unless cured or waived, become an Event of Default.</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means any Lender whose acts or failure to act, whether directly or indirectly, cause it to meet any part of the definition of “Lender Default,” as determined by the Administrative Agent.</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Equity Contribution</w:t>
      </w:r>
      <w:r>
        <w:rPr>
          <w:rFonts w:ascii="Times New Roman" w:cs="Times New Roman" w:eastAsia="Times New Roman" w:hAnsi="Times New Roman"/>
          <w:sz w:val="20"/>
          <w:szCs w:val="20"/>
          <w:color w:val="auto"/>
        </w:rPr>
        <w:t>” means any cash contribution to the common equity of the Borrower and/or any purchase or investment in any Equity Interests of the Borrower other than Disqualified Equity Interests.</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comprehensive Sanctions.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Disclosed Matters</w:t>
      </w:r>
      <w:r>
        <w:rPr>
          <w:rFonts w:ascii="Times New Roman" w:cs="Times New Roman" w:eastAsia="Times New Roman" w:hAnsi="Times New Roman"/>
          <w:sz w:val="20"/>
          <w:szCs w:val="20"/>
          <w:color w:val="auto"/>
        </w:rPr>
        <w:t xml:space="preserve">” means the actions, suits and proceedings and the environmental matters disclosed in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020"/>
          </w:cols>
          <w:pgMar w:left="440" w:top="265" w:right="439" w:bottom="1440" w:gutter="0" w:footer="0" w:header="0"/>
        </w:sectPr>
      </w:pPr>
    </w:p>
    <w:bookmarkStart w:id="32" w:name="page33"/>
    <w:bookmarkEnd w:id="32"/>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Disposed EBITDA</w:t>
      </w:r>
      <w:r>
        <w:rPr>
          <w:rFonts w:ascii="Times New Roman" w:cs="Times New Roman" w:eastAsia="Times New Roman" w:hAnsi="Times New Roman"/>
          <w:sz w:val="20"/>
          <w:szCs w:val="20"/>
          <w:color w:val="auto"/>
        </w:rPr>
        <w:t>” means, with respect to any Sold Entity or Business or any Converted Unrestricted Subsidiary for any period, the amount for such period of Consolidated EBITDA of such Sold Entity or Business (determined as if references to the Borrower and the Restricted Subsidiaries in the definition of Consolidated EBITDA (and in the component definitions used therein) were references to such Sold Entity or Business and its Subsidiaries or such Converted Unrestricted Subsidiary and its Subsidiaries) or such Converted Unrestricted Subsidiary, all as determined on a consolidated basis for such Sold Entity or Business or such Converted Unrestricted Subsidiary.</w:t>
      </w:r>
    </w:p>
    <w:p>
      <w:pPr>
        <w:spacing w:after="0" w:line="184" w:lineRule="exact"/>
        <w:rPr>
          <w:sz w:val="20"/>
          <w:szCs w:val="20"/>
          <w:color w:val="auto"/>
        </w:rPr>
      </w:pPr>
    </w:p>
    <w:p>
      <w:pPr>
        <w:jc w:val="both"/>
        <w:ind w:right="20"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Interests</w:t>
      </w:r>
      <w:r>
        <w:rPr>
          <w:rFonts w:ascii="Times New Roman" w:cs="Times New Roman" w:eastAsia="Times New Roman" w:hAnsi="Times New Roman"/>
          <w:sz w:val="20"/>
          <w:szCs w:val="20"/>
          <w:color w:val="auto"/>
        </w:rPr>
        <w:t xml:space="preserve">”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 in full of the Obligations, reduction of the LC Exposure to zero and termination of the Revolving Commitments or upon a “change in control;”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payment required pursuant to a “change in control” is contractually subordinated in right of payment to the Obligations on terms reasonably satisfactory to the Administrative Agent), or (b) are convertible or exchangeable, automatically or at the option of any holder thereof, into any Indebtedness, Equity Interests or other assets other than Qualified Equity Interests.</w:t>
      </w:r>
    </w:p>
    <w:p>
      <w:pPr>
        <w:spacing w:after="0" w:line="189"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xml:space="preserve">” means (i) those Persons identified by the Borrower to the Administrative Agent in writing prior to the date of this Agreement, (ii) competitors of the Borrower identified by the Borrower to the Administrative Agent in writing from time to time and (iii) any Affiliate of any Person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competitor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that is identified by the Borrower to the Administrative Agent in writing from time to time or reasonably identifiable solely by name as an Affiliate of such Person, other than an Affiliate of such Person that is a Bona Fide Debt Fund or a regulated bank (or lending affiliate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no updates to the list of Disqualified Lenders shall be deemed to retroactively disqualify any parties that have previously validly acquired an assignment or participation in respect of the Loans from continuing to hold or vote such previously acquired assignments and participations on the terms set forth herein for Lenders that are not Disqualified Lenders and (y) no updates to the list of Disqualified Lenders shall become effective prior to the date that is three Business Days after notice has been provided to the Administrative Agent.</w:t>
      </w:r>
    </w:p>
    <w:p>
      <w:pPr>
        <w:spacing w:after="0" w:line="186"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 refers to lawful money of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with respect to any Person, any subsidiary of such Person that is not a Foreign Subsidiary.</w:t>
      </w:r>
    </w:p>
    <w:p>
      <w:pPr>
        <w:spacing w:after="0" w:line="216"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020"/>
          </w:cols>
          <w:pgMar w:left="440" w:top="265" w:right="439" w:bottom="1440" w:gutter="0" w:footer="0" w:header="0"/>
        </w:sectPr>
      </w:pPr>
    </w:p>
    <w:bookmarkStart w:id="33" w:name="page34"/>
    <w:bookmarkEnd w:id="33"/>
    <w:p>
      <w:pPr>
        <w:ind w:left="7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EMU Legislation</w:t>
      </w:r>
      <w:r>
        <w:rPr>
          <w:rFonts w:ascii="Times New Roman" w:cs="Times New Roman" w:eastAsia="Times New Roman" w:hAnsi="Times New Roman"/>
          <w:sz w:val="20"/>
          <w:szCs w:val="20"/>
          <w:color w:val="auto"/>
        </w:rPr>
        <w:t>” means the legislative measures of the European Council for the introduction of, changeover to or operation of a single or unified European currency.</w:t>
      </w:r>
    </w:p>
    <w:p>
      <w:pPr>
        <w:spacing w:after="0" w:line="159"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w:t>
      </w:r>
    </w:p>
    <w:p>
      <w:pPr>
        <w:spacing w:after="0" w:line="180"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Restricted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86"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Equivalents</w:t>
      </w:r>
      <w:r>
        <w:rPr>
          <w:rFonts w:ascii="Times New Roman" w:cs="Times New Roman" w:eastAsia="Times New Roman" w:hAnsi="Times New Roman"/>
          <w:sz w:val="20"/>
          <w:szCs w:val="20"/>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159"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shares of capital stock, partnership interests, membership interests in a limited liability company, beneficial interests in a trust or other equity ownership interests in a Person.</w:t>
      </w:r>
    </w:p>
    <w:p>
      <w:pPr>
        <w:spacing w:after="0" w:line="159" w:lineRule="exact"/>
        <w:rPr>
          <w:sz w:val="20"/>
          <w:szCs w:val="20"/>
          <w:color w:val="auto"/>
        </w:rPr>
      </w:pPr>
    </w:p>
    <w:p>
      <w:pPr>
        <w:jc w:val="both"/>
        <w:ind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Equityholding Vehicle</w:t>
      </w:r>
      <w:r>
        <w:rPr>
          <w:rFonts w:ascii="Times New Roman" w:cs="Times New Roman" w:eastAsia="Times New Roman" w:hAnsi="Times New Roman"/>
          <w:sz w:val="20"/>
          <w:szCs w:val="20"/>
          <w:color w:val="auto"/>
        </w:rPr>
        <w:t>” means any direct or indirect parent entity (including Public Company Parent). of the Borrower and any equityholder thereof through which Management Stockholders hold Equity Interests of the Borrower or such parent entity (including Public Company Parent).</w:t>
      </w:r>
    </w:p>
    <w:p>
      <w:pPr>
        <w:spacing w:after="0" w:line="174"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regulations promulgated and the rulings issued thereunder.</w:t>
      </w:r>
    </w:p>
    <w:p>
      <w:pPr>
        <w:spacing w:after="0" w:line="159" w:lineRule="exact"/>
        <w:rPr>
          <w:sz w:val="20"/>
          <w:szCs w:val="20"/>
          <w:color w:val="auto"/>
        </w:rPr>
      </w:pPr>
    </w:p>
    <w:p>
      <w:pPr>
        <w:jc w:val="both"/>
        <w:ind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74" w:lineRule="exact"/>
        <w:rPr>
          <w:sz w:val="20"/>
          <w:szCs w:val="20"/>
          <w:color w:val="auto"/>
        </w:rPr>
      </w:pPr>
    </w:p>
    <w:p>
      <w:pPr>
        <w:jc w:val="both"/>
        <w:ind w:firstLine="771"/>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000"/>
          </w:cols>
          <w:pgMar w:left="440" w:top="265" w:right="459" w:bottom="1440" w:gutter="0" w:footer="0" w:header="0"/>
        </w:sectPr>
      </w:pPr>
    </w:p>
    <w:bookmarkStart w:id="34" w:name="page35"/>
    <w:bookmarkEnd w:id="34"/>
    <w:p>
      <w:pPr>
        <w:jc w:val="both"/>
        <w:ind w:left="4"/>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 w:lineRule="exact"/>
        <w:rPr>
          <w:sz w:val="20"/>
          <w:szCs w:val="20"/>
          <w:color w:val="auto"/>
        </w:rPr>
      </w:pPr>
    </w:p>
    <w:p>
      <w:pPr>
        <w:ind w:left="4" w:right="20" w:hanging="4"/>
        <w:spacing w:after="0" w:line="271" w:lineRule="auto"/>
        <w:tabs>
          <w:tab w:leader="none" w:pos="2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or any ERISA Affiliate fails to pay when due, after the expiration of any applicable grace period, any installment payment with respect to its withdrawal liability under Section 4201 of ERISA under a Multiemployer Plan or (k) any Foreign Benefit Event.</w:t>
      </w:r>
    </w:p>
    <w:p>
      <w:pPr>
        <w:spacing w:after="0" w:line="160"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jc w:val="both"/>
        <w:ind w:left="4" w:firstLine="771"/>
        <w:spacing w:after="0" w:line="245" w:lineRule="auto"/>
        <w:rPr>
          <w:sz w:val="20"/>
          <w:szCs w:val="20"/>
          <w:color w:val="auto"/>
        </w:rPr>
      </w:pPr>
      <w:r>
        <w:rPr>
          <w:rFonts w:ascii="Times New Roman" w:cs="Times New Roman" w:eastAsia="Times New Roman" w:hAnsi="Times New Roman"/>
          <w:sz w:val="20"/>
          <w:szCs w:val="20"/>
          <w:u w:val="single" w:color="auto"/>
          <w:color w:val="0000FF"/>
        </w:rPr>
        <w:t>“EURIBOR Rate” means, with respect to any Borrowing for any Interest Period denominated in Euros, the greater of (i) the Euro interbank offered rate administered by the European Money Markets Institute (or any other Person which takes over the administration of that rate) for the relevant period displayed on the relevant Bloomberg page (or such other commercially available source providing such quotations as may be designated by the Administrative Agent from time to time) at approximately 11:00 a.m. (Brussels time) on the relevant Rate Determination Date for deposits in Euros for delivery on the first day of such Interest Period with a term equivalent to such Interest Period and (ii) zero.</w:t>
      </w:r>
    </w:p>
    <w:p>
      <w:pPr>
        <w:spacing w:after="0" w:line="184"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“EURIBOR Rate Borrowing” means, as to any Borrowing denominated in Euros, the EURIBOR Rate Loans comprising such Borrowing.</w:t>
      </w:r>
    </w:p>
    <w:p>
      <w:pPr>
        <w:spacing w:after="0" w:line="15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u w:val="single" w:color="auto"/>
          <w:color w:val="0000FF"/>
        </w:rPr>
        <w:t>“EURIBOR Rate Loan” means a Loan that bears interest at a rate based on the EURIBOR Rate.</w:t>
      </w:r>
    </w:p>
    <w:p>
      <w:pPr>
        <w:spacing w:after="0" w:line="216"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means the lawful currency of the Participating Member States introduced in accordance with the EMU Legislation.</w:t>
      </w:r>
    </w:p>
    <w:p>
      <w:pPr>
        <w:spacing w:after="0" w:line="216" w:lineRule="exact"/>
        <w:rPr>
          <w:sz w:val="20"/>
          <w:szCs w:val="20"/>
          <w:color w:val="auto"/>
        </w:rPr>
      </w:pPr>
    </w:p>
    <w:p>
      <w:pPr>
        <w:jc w:val="both"/>
        <w:ind w:left="4"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FF0000"/>
          <w:strike w:val="1"/>
        </w:rPr>
        <w:t>Eurocurrency</w:t>
      </w:r>
      <w:r>
        <w:rPr>
          <w:rFonts w:ascii="Times New Roman" w:cs="Times New Roman" w:eastAsia="Times New Roman" w:hAnsi="Times New Roman"/>
          <w:sz w:val="20"/>
          <w:szCs w:val="20"/>
          <w:color w:val="FF0000"/>
          <w:strike w:val="1"/>
        </w:rPr>
        <w:t>” means, when used in reference to any Loan or Borrowing, whether such Loan, or the Loans comprising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Borrowing, are bearing interest at a rate determined by reference to the Eurocurrency Rate.</w:t>
      </w:r>
      <w:r>
        <w:rPr>
          <w:rFonts w:ascii="Times New Roman" w:cs="Times New Roman" w:eastAsia="Times New Roman" w:hAnsi="Times New Roman"/>
          <w:sz w:val="20"/>
          <w:szCs w:val="20"/>
          <w:u w:val="single" w:color="auto"/>
          <w:color w:val="0000FF"/>
          <w:strike w:val="1"/>
        </w:rPr>
        <w:t>Euro Banking Day” means, for Obligations,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interest, fees, commissions or other amounts denominated in, or calculated with respect to, Euros, a TARGET Day; provided, that for purposes of notice requirements in Sections 2.03, in each case, such day is also a Business Day.</w:t>
      </w:r>
    </w:p>
    <w:p>
      <w:pPr>
        <w:spacing w:after="0" w:line="180"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Eurocurrency Rate</w:t>
      </w:r>
      <w:r>
        <w:rPr>
          <w:rFonts w:ascii="Times New Roman" w:cs="Times New Roman" w:eastAsia="Times New Roman" w:hAnsi="Times New Roman"/>
          <w:sz w:val="20"/>
          <w:szCs w:val="20"/>
          <w:color w:val="FF0000"/>
          <w:strike w:val="1"/>
        </w:rPr>
        <w:t>” means:</w:t>
      </w:r>
    </w:p>
    <w:p>
      <w:pPr>
        <w:spacing w:after="0" w:line="108" w:lineRule="exact"/>
        <w:rPr>
          <w:sz w:val="20"/>
          <w:szCs w:val="20"/>
          <w:color w:val="auto"/>
        </w:rPr>
      </w:pPr>
    </w:p>
    <w:p>
      <w:pPr>
        <w:jc w:val="both"/>
        <w:ind w:left="764" w:firstLine="724"/>
        <w:spacing w:after="0" w:line="254" w:lineRule="auto"/>
        <w:tabs>
          <w:tab w:leader="none" w:pos="1759" w:val="left"/>
        </w:tabs>
        <w:numPr>
          <w:ilvl w:val="0"/>
          <w:numId w:val="35"/>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Period with respect to a Eurocurrency Loan denominated in Dollars or Sterling, the rate per annum equal to the London Interbank Offered Rate (“LIBOR”) as published on the applicable Bloomberg screen page (or such other commercially available source</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024"/>
          </w:cols>
          <w:pgMar w:left="436" w:top="265" w:right="439" w:bottom="1440" w:gutter="0" w:footer="0" w:header="0"/>
        </w:sectPr>
      </w:pPr>
    </w:p>
    <w:bookmarkStart w:id="35" w:name="page36"/>
    <w:bookmarkEnd w:id="35"/>
    <w:p>
      <w:pPr>
        <w:jc w:val="both"/>
        <w:ind w:left="760" w:right="20"/>
        <w:spacing w:after="0" w:line="254" w:lineRule="auto"/>
        <w:rPr>
          <w:sz w:val="20"/>
          <w:szCs w:val="20"/>
          <w:color w:val="auto"/>
        </w:rPr>
      </w:pPr>
      <w:r>
        <w:rPr>
          <w:rFonts w:ascii="Times New Roman" w:cs="Times New Roman" w:eastAsia="Times New Roman" w:hAnsi="Times New Roman"/>
          <w:sz w:val="20"/>
          <w:szCs w:val="20"/>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providing such quotations as may be designated by the Administrative Agent from time to time) at approximately 11:00 a.m. (London time), on the relevant Rate Determination Date for deposits in the relevant currency (for delivery on the first day of such Interest Period) with a term equivalent to such Interest Period;</w:t>
      </w:r>
    </w:p>
    <w:p>
      <w:pPr>
        <w:spacing w:after="0" w:line="66" w:lineRule="exact"/>
        <w:rPr>
          <w:sz w:val="20"/>
          <w:szCs w:val="20"/>
          <w:color w:val="auto"/>
        </w:rPr>
      </w:pPr>
    </w:p>
    <w:p>
      <w:pPr>
        <w:jc w:val="both"/>
        <w:ind w:left="760" w:right="20" w:firstLine="724"/>
        <w:spacing w:after="0" w:line="245" w:lineRule="auto"/>
        <w:tabs>
          <w:tab w:leader="none" w:pos="1769" w:val="left"/>
        </w:tabs>
        <w:numPr>
          <w:ilvl w:val="0"/>
          <w:numId w:val="36"/>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Period with respect to a Eurocurrency Loan denominated in Euros, the Euro interbank offered rate administered by the European Money Markets Institute (or any other Person which takes over the administration of that rate) for the relevant period displayed on the relevant Bloomberg page (or such other commercially available source providing such quotations as may be designated by the Administrative Agent from time to time) at approximately 11:00 a.m. (Brussels time) on the relevant Rate Determination Date for deposits in Euros for delivery on the first day of such Interest Period with a term equivalent to such Interest Period; and</w:t>
      </w:r>
    </w:p>
    <w:p>
      <w:pPr>
        <w:spacing w:after="0" w:line="76" w:lineRule="exact"/>
        <w:rPr>
          <w:rFonts w:ascii="Times New Roman" w:cs="Times New Roman" w:eastAsia="Times New Roman" w:hAnsi="Times New Roman"/>
          <w:sz w:val="20"/>
          <w:szCs w:val="20"/>
          <w:color w:val="FF0000"/>
          <w:strike w:val="1"/>
        </w:rPr>
      </w:pPr>
    </w:p>
    <w:p>
      <w:pPr>
        <w:jc w:val="both"/>
        <w:ind w:left="760" w:right="20" w:firstLine="724"/>
        <w:spacing w:after="0" w:line="254" w:lineRule="auto"/>
        <w:tabs>
          <w:tab w:leader="none" w:pos="1767" w:val="left"/>
        </w:tabs>
        <w:numPr>
          <w:ilvl w:val="0"/>
          <w:numId w:val="36"/>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for any interest calculation with respect to an ABR Loan on any date, the rate per annum equal to LIBOR, at or about 11:00 a.m. (London time) determined two Business Days prior to such date for U.S. Dollar deposits with a term of one month commencing that day.</w:t>
      </w:r>
    </w:p>
    <w:p>
      <w:pPr>
        <w:spacing w:after="0" w:line="17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i w:val="1"/>
          <w:iCs w:val="1"/>
          <w:color w:val="FF0000"/>
          <w:strike w:val="1"/>
        </w:rPr>
        <w:t xml:space="preserve">provided </w:t>
      </w:r>
      <w:r>
        <w:rPr>
          <w:rFonts w:ascii="Times New Roman" w:cs="Times New Roman" w:eastAsia="Times New Roman" w:hAnsi="Times New Roman"/>
          <w:sz w:val="20"/>
          <w:szCs w:val="20"/>
          <w:color w:val="FF0000"/>
          <w:strike w:val="1"/>
        </w:rPr>
        <w:t>that, with respect to any Interest Period for which there is no applicable screen rate specified above, such screen rate shall be</w:t>
      </w:r>
      <w:r>
        <w:rPr>
          <w:rFonts w:ascii="Times New Roman" w:cs="Times New Roman" w:eastAsia="Times New Roman" w:hAnsi="Times New Roman"/>
          <w:sz w:val="20"/>
          <w:szCs w:val="20"/>
          <w:i w:val="1"/>
          <w:iCs w:val="1"/>
          <w:color w:val="FF0000"/>
          <w:strike w:val="1"/>
        </w:rPr>
        <w:t xml:space="preserve"> </w:t>
      </w:r>
      <w:r>
        <w:rPr>
          <w:rFonts w:ascii="Times New Roman" w:cs="Times New Roman" w:eastAsia="Times New Roman" w:hAnsi="Times New Roman"/>
          <w:sz w:val="20"/>
          <w:szCs w:val="20"/>
          <w:color w:val="FF0000"/>
          <w:strike w:val="1"/>
        </w:rPr>
        <w:t xml:space="preserve">determined through the use of straight-line interpolation by reference to two such rates, one of which shall be determined as if the length of the period of such deposits were the period of time for which the rate for such deposits are available is the period next shorter than the length of such Interest Period and the other of which shall be determined as if the period of time for which the rate for such deposits are available is the period next longer than the length of such Interest Period as determined by the Administrative Agent; </w:t>
      </w:r>
      <w:r>
        <w:rPr>
          <w:rFonts w:ascii="Times New Roman" w:cs="Times New Roman" w:eastAsia="Times New Roman" w:hAnsi="Times New Roman"/>
          <w:sz w:val="20"/>
          <w:szCs w:val="20"/>
          <w:i w:val="1"/>
          <w:iCs w:val="1"/>
          <w:color w:val="FF0000"/>
          <w:strike w:val="1"/>
        </w:rPr>
        <w:t>provided further</w:t>
      </w:r>
      <w:r>
        <w:rPr>
          <w:rFonts w:ascii="Times New Roman" w:cs="Times New Roman" w:eastAsia="Times New Roman" w:hAnsi="Times New Roman"/>
          <w:sz w:val="20"/>
          <w:szCs w:val="20"/>
          <w:color w:val="FF0000"/>
          <w:strike w:val="1"/>
        </w:rPr>
        <w:t xml:space="preserve"> that if the Eurocurrency Rate shall be less than zero, such rate shall be deemed zero for purposes of this Agreement.</w:t>
      </w:r>
    </w:p>
    <w:p>
      <w:pPr>
        <w:spacing w:after="0" w:line="183"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FF0000"/>
          <w:strike w:val="1"/>
        </w:rPr>
        <w:t>Notwithstanding anything to the contrary in this Agreement or any other Loan Documents, if the Administrative Agent determines (which determination shall be conclusive absent manifest error), or the Required Lenders notify the Administrative Agent (with a copy to the Borrower) that the Required Lenders have determined, that:</w:t>
      </w:r>
    </w:p>
    <w:p>
      <w:pPr>
        <w:spacing w:after="0" w:line="66" w:lineRule="exact"/>
        <w:rPr>
          <w:sz w:val="20"/>
          <w:szCs w:val="20"/>
          <w:color w:val="auto"/>
        </w:rPr>
      </w:pPr>
    </w:p>
    <w:p>
      <w:pPr>
        <w:jc w:val="both"/>
        <w:ind w:left="1100" w:firstLine="493"/>
        <w:spacing w:after="0" w:line="254" w:lineRule="auto"/>
        <w:tabs>
          <w:tab w:leader="none" w:pos="1866" w:val="left"/>
        </w:tabs>
        <w:numPr>
          <w:ilvl w:val="0"/>
          <w:numId w:val="3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adequate and reasonable means do not exist for ascertaining the Eurocurrency Rate for any requested Interest Period for any currency, including, without limitation, because the Eurocurrency Rate for such currency is not available or published on a current basis and such circumstances are unlikely to be temporary; or</w:t>
      </w:r>
    </w:p>
    <w:p>
      <w:pPr>
        <w:spacing w:after="0" w:line="66" w:lineRule="exact"/>
        <w:rPr>
          <w:rFonts w:ascii="Times New Roman" w:cs="Times New Roman" w:eastAsia="Times New Roman" w:hAnsi="Times New Roman"/>
          <w:sz w:val="20"/>
          <w:szCs w:val="20"/>
          <w:color w:val="FF0000"/>
          <w:strike w:val="1"/>
        </w:rPr>
      </w:pPr>
    </w:p>
    <w:p>
      <w:pPr>
        <w:jc w:val="both"/>
        <w:ind w:left="1100" w:firstLine="493"/>
        <w:spacing w:after="0" w:line="249" w:lineRule="auto"/>
        <w:tabs>
          <w:tab w:leader="none" w:pos="1887" w:val="left"/>
        </w:tabs>
        <w:numPr>
          <w:ilvl w:val="0"/>
          <w:numId w:val="37"/>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the supervisor for the administrator of the Eurocurrency Rate or a Governmental Authority having jurisdiction over the Administrative Agent has made a public statement identifying a specific date after which the Eurocurrency Rate for such currency shall no longer be made available, or used for determining the interest rate of loans (such specific date, the “</w:t>
      </w:r>
      <w:r>
        <w:rPr>
          <w:rFonts w:ascii="Times New Roman" w:cs="Times New Roman" w:eastAsia="Times New Roman" w:hAnsi="Times New Roman"/>
          <w:sz w:val="20"/>
          <w:szCs w:val="20"/>
          <w:u w:val="single" w:color="auto"/>
          <w:color w:val="FF0000"/>
          <w:strike w:val="1"/>
        </w:rPr>
        <w:t>Scheduled Unavailability Date</w:t>
      </w:r>
      <w:r>
        <w:rPr>
          <w:rFonts w:ascii="Times New Roman" w:cs="Times New Roman" w:eastAsia="Times New Roman" w:hAnsi="Times New Roman"/>
          <w:sz w:val="20"/>
          <w:szCs w:val="20"/>
          <w:color w:val="FF0000"/>
          <w:strike w:val="1"/>
        </w:rPr>
        <w:t>”),</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FF0000"/>
          <w:strike w:val="1"/>
        </w:rPr>
        <w:t>then, after such determination by the Administrative Agent or receipt by the Administrative Agent of such notice, as applicable, the Administrative Agent and the Borrower may amend this Agreement to replace the Eurocurrency Rate for such currency with an alternate benchmark rate (including any mathematical or other adjustments to the benchmark (if any) incorporated therein) that has been broadly accepted by the syndicated loan market in the United States in lieu of the Eurocurrency Rate (any such proposed rate, a “</w:t>
      </w:r>
      <w:r>
        <w:rPr>
          <w:rFonts w:ascii="Times New Roman" w:cs="Times New Roman" w:eastAsia="Times New Roman" w:hAnsi="Times New Roman"/>
          <w:sz w:val="20"/>
          <w:szCs w:val="20"/>
          <w:u w:val="single" w:color="auto"/>
          <w:color w:val="FF0000"/>
          <w:strike w:val="1"/>
        </w:rPr>
        <w:t>Eurocurrency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Successor Rate</w:t>
      </w:r>
      <w:r>
        <w:rPr>
          <w:rFonts w:ascii="Times New Roman" w:cs="Times New Roman" w:eastAsia="Times New Roman" w:hAnsi="Times New Roman"/>
          <w:sz w:val="20"/>
          <w:szCs w:val="20"/>
          <w:color w:val="FF0000"/>
          <w:strike w:val="1"/>
        </w:rPr>
        <w:t xml:space="preserve">”), together with any proposed Eurocurrency Successor Rate Conforming Changes and, notwithstanding anything to the contrary in </w:t>
      </w:r>
      <w:r>
        <w:rPr>
          <w:rFonts w:ascii="Times New Roman" w:cs="Times New Roman" w:eastAsia="Times New Roman" w:hAnsi="Times New Roman"/>
          <w:sz w:val="20"/>
          <w:szCs w:val="20"/>
          <w:u w:val="single" w:color="auto"/>
          <w:color w:val="FF0000"/>
          <w:strike w:val="1"/>
        </w:rPr>
        <w:t>Section 9.02</w:t>
      </w:r>
      <w:r>
        <w:rPr>
          <w:rFonts w:ascii="Times New Roman" w:cs="Times New Roman" w:eastAsia="Times New Roman" w:hAnsi="Times New Roman"/>
          <w:sz w:val="20"/>
          <w:szCs w:val="20"/>
          <w:color w:val="FF0000"/>
          <w:strike w:val="1"/>
        </w:rPr>
        <w:t>,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69919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1985"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020"/>
          </w:cols>
          <w:pgMar w:left="440" w:top="265" w:right="439" w:bottom="1440" w:gutter="0" w:footer="0" w:header="0"/>
        </w:sectPr>
      </w:pPr>
    </w:p>
    <w:bookmarkStart w:id="36" w:name="page37"/>
    <w:bookmarkEnd w:id="36"/>
    <w:p>
      <w:pPr>
        <w:jc w:val="both"/>
        <w:ind w:right="20"/>
        <w:spacing w:after="0" w:line="254" w:lineRule="auto"/>
        <w:rPr>
          <w:sz w:val="20"/>
          <w:szCs w:val="20"/>
          <w:color w:val="auto"/>
        </w:rPr>
      </w:pPr>
      <w:r>
        <w:rPr>
          <w:rFonts w:ascii="Times New Roman" w:cs="Times New Roman" w:eastAsia="Times New Roman" w:hAnsi="Times New Roman"/>
          <w:sz w:val="20"/>
          <w:szCs w:val="20"/>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notice that such Required Lenders do not accept such amendment.</w:t>
      </w:r>
    </w:p>
    <w:p>
      <w:pPr>
        <w:spacing w:after="0" w:line="174"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FF0000"/>
          <w:strike w:val="1"/>
        </w:rPr>
        <w:t>If no Eurocurrency Successor Rate has been determined and the circumstances under clause (i) above exist, the obligation of the Lenders to make or maintain Eurocurrency Loans in the relevant currency shall be suspended, (to the extent of the affected Eurocurrency Loans or Interest Periods). Upon receipt of such notice, the Borrower may revoke any pending request for a Eurocurrency Borrowing in the relevant currency of, conversion to or continuation of Eurocurrency Loans (to the extent of the affected Eurocurrency Loans or Interest Periods) or, failing that, will be deemed to have converted such request into a request for a Borrowing of Base Rate Loans in Dollars in the amount specified therein (and, if the affected Borrowings are denominated in an Alternative Currency for which no Eurocurrency Rate option is available as provided above, such Loans shall be redenominated in Dollars on the last day of the current Interest Period based on the Dollar Equivalent amount thereof on such date). Notwithstanding the foregoing, the Eurocurrency Successor Rate shall not be less than zero.</w:t>
      </w:r>
    </w:p>
    <w:p>
      <w:pPr>
        <w:spacing w:after="0" w:line="186" w:lineRule="exact"/>
        <w:rPr>
          <w:sz w:val="20"/>
          <w:szCs w:val="20"/>
          <w:color w:val="auto"/>
        </w:rPr>
      </w:pPr>
    </w:p>
    <w:p>
      <w:pPr>
        <w:jc w:val="both"/>
        <w:ind w:right="20" w:firstLine="771"/>
        <w:spacing w:after="0" w:line="244"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Eurocurrency Successor Rate Conforming Changes</w:t>
      </w:r>
      <w:r>
        <w:rPr>
          <w:rFonts w:ascii="Times New Roman" w:cs="Times New Roman" w:eastAsia="Times New Roman" w:hAnsi="Times New Roman"/>
          <w:sz w:val="20"/>
          <w:szCs w:val="20"/>
          <w:color w:val="FF0000"/>
          <w:strike w:val="1"/>
        </w:rPr>
        <w:t>” means, with respect to any proposed Eurocurrency Successor Rate, any conforming changes to the definition of Base Rate, Interest Period, timing and frequency of determining rates and making payments of interest and other administrative matters as may be appropriate, as reasonably agreed between the Administrative Agent and the Borrower, to reflect the adoption of such Eurocurrency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Eurocurrency Successor Rate exists, in such other manner of administration as the Administrative Agent and the Borrower reasonably determine).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has the meaning set forth in the definition of “Collateral and Guarantee Requirement.”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Indebtedness</w:t>
      </w:r>
      <w:r>
        <w:rPr>
          <w:rFonts w:ascii="Times New Roman" w:cs="Times New Roman" w:eastAsia="Times New Roman" w:hAnsi="Times New Roman"/>
          <w:sz w:val="20"/>
          <w:szCs w:val="20"/>
          <w:color w:val="auto"/>
        </w:rPr>
        <w:t>” has the meaning set forth in the definition of “Indebtedness.”</w:t>
      </w:r>
    </w:p>
    <w:p>
      <w:pPr>
        <w:spacing w:after="0" w:line="216"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 any Subsidiary that is not a Wholly-Owned Subsidiary of the Borrower or any other Guarantor on the Closing Date or on the date such Subsidiary becomes a Subsidiary, in each case, for so long as such Subsidiary remains a non-Wholly Owned Subsidiary, (b) any Subsidiary that does not have, individually, total assets in excess of 2.5% of the total assets of the Borrower and its Subsidiaries, taken as a whole, or 5.0% of such total assets in the aggregate together with all other Subsidiaries excluded via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(c) any Subsidiary that is prohibited by applicable law (whether on the Closing Date or thereafter) or contractual obligations existing on the Closing Date (or, in the case of any newly acquired Subsidiary, in existence at the time of acquisition but not entered into in contemplation thereof) from guaranteeing the Obligations or if guaranteeing the Obligations would require governmental (including regulatory) or other third-party (other than a Loan Party) consent, approval, license or authorization (unless such consent, approval, license or authorization has been obtained), (d) any other Subsidiary with respect to which the Administrative Agent and the Borrower mutually agree that the burden or cost or other consequences (including any material adverse tax</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020"/>
          </w:cols>
          <w:pgMar w:left="440" w:top="265" w:right="439" w:bottom="1440" w:gutter="0" w:footer="0" w:header="0"/>
        </w:sectPr>
      </w:pPr>
    </w:p>
    <w:bookmarkStart w:id="37" w:name="page38"/>
    <w:bookmarkEnd w:id="37"/>
    <w:p>
      <w:pPr>
        <w:jc w:val="both"/>
        <w:ind w:left="4"/>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consequences) of providing a Guarantee shall be excessive in relation to the benefits to be obtained by the Lenders therefrom, (e) any direct or indirect Foreign Subsidiary of the Borrower, (f) any Subsidiary with respect to which the provision of a guarantee by it would result in material adverse tax consequences to the Borrower or any of Borrower’s direct or indirect Subsidiaries, in each case, as reasonably determined by the Borrower in consultation with the Administrative Agent, (g) any not-for-profit Subsidiaries, (h) any Unrestricted Subsidiaries, (i) any direct or indirect Domestic Subsidiary of a Foreign Subsidiary that is a CFC; (j) any direct or indirect Subsidiary that has no material assets other than Equity Interests (or Equity Interests and indebtedness) of (i) one or more direct or indirect Foreign Subsidiaries that are CFCs or (ii) other Subsidiaries described in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(any Subsidiary described in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xml:space="preserve">”), (k) any special purpose entities, (l) any captive insurance subsidiaries and (m) any Subsidiaries that are Broker-Dealer Subsidiaries or other Regulated Subsidiaries, a state chartered trust company, a national trust company or a thrift limited to trust powers;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for the avoidance of doubt (i) at the option of the Borrower, any Excluded Subsidiary may issue a Guaranty and become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Guarantor as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definition of “Guarantors” and (ii) any Person that becomes a Guarantor pursuant to </w:t>
      </w:r>
      <w:r>
        <w:rPr>
          <w:rFonts w:ascii="Times New Roman" w:cs="Times New Roman" w:eastAsia="Times New Roman" w:hAnsi="Times New Roman"/>
          <w:sz w:val="20"/>
          <w:szCs w:val="20"/>
          <w:u w:val="single" w:color="auto"/>
          <w:color w:val="auto"/>
        </w:rPr>
        <w:t>clause</w:t>
      </w:r>
    </w:p>
    <w:p>
      <w:pPr>
        <w:spacing w:after="0" w:line="6" w:lineRule="exact"/>
        <w:rPr>
          <w:sz w:val="20"/>
          <w:szCs w:val="20"/>
          <w:color w:val="auto"/>
        </w:rPr>
      </w:pPr>
    </w:p>
    <w:p>
      <w:pPr>
        <w:ind w:left="4" w:hanging="4"/>
        <w:spacing w:after="0" w:line="246" w:lineRule="auto"/>
        <w:tabs>
          <w:tab w:leader="none" w:pos="302" w:val="left"/>
        </w:tabs>
        <w:numPr>
          <w:ilvl w:val="0"/>
          <w:numId w:val="3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“Guarantors” shall cease to constitute an Excluded Subsidiary, and shall not be released from its obligations under the Guaranty, solely on the basis that, prior to becoming a Guarantor, such Person constituted an Excluded Subsidiary.</w:t>
      </w:r>
    </w:p>
    <w:p>
      <w:pPr>
        <w:spacing w:after="0" w:line="182" w:lineRule="exact"/>
        <w:rPr>
          <w:sz w:val="20"/>
          <w:szCs w:val="20"/>
          <w:color w:val="auto"/>
        </w:rPr>
      </w:pPr>
    </w:p>
    <w:p>
      <w:pPr>
        <w:jc w:val="both"/>
        <w:ind w:left="4" w:firstLine="771"/>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xml:space="preserve">” means, with respect to any Guarantor, (a)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and any other applicable agreement for the benefit of such Guarantor and any and all applicable guarantees of such Guarantor’s Swap Obligations by other Loan Parties),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the Approved Counterparty applicable to such Swap Obligations. If a Swap Obligation arises under a master agreement governing more than one Swap, such exclusion shall apply only to the portion of such Swap Obligation that is attributable to the Swap for which such guarantee or security interest is or becomes excluded in accordance with the first sentence of this definition.</w:t>
      </w:r>
    </w:p>
    <w:p>
      <w:pPr>
        <w:spacing w:after="0" w:line="194" w:lineRule="exact"/>
        <w:rPr>
          <w:sz w:val="20"/>
          <w:szCs w:val="20"/>
          <w:color w:val="auto"/>
        </w:rPr>
      </w:pPr>
    </w:p>
    <w:p>
      <w:pPr>
        <w:jc w:val="both"/>
        <w:ind w:left="4" w:firstLine="77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means, with respect to the Administrative Agent, any Lender, Issuing Bank or other recipient of any payment to be made by or on account of any obligation of any Loan Party under any Loan Document, (a) any Taxes imposed on or measured by such recipient’s net income or overall gross income, or capital, net worth or similar Taxes imposed on it in lieu of or as an adjunct to net or overall gross income taxes, or franchise Taxes, in each case, imposed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024"/>
          </w:cols>
          <w:pgMar w:left="436" w:top="265" w:right="439" w:bottom="1440" w:gutter="0" w:footer="0" w:header="0"/>
        </w:sectPr>
      </w:pPr>
    </w:p>
    <w:bookmarkStart w:id="38" w:name="page39"/>
    <w:bookmarkEnd w:id="38"/>
    <w:p>
      <w:pPr>
        <w:jc w:val="both"/>
        <w:ind w:left="4"/>
        <w:spacing w:after="0" w:line="250"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other transactions pursuant to, or enforced, any Loan Documents or sold or assigned an interest in any Loan Documents); (b) any branch profits Taxes under Section 884(a) of the Code, or any similar Taxes, imposed by any jurisdiction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2" w:lineRule="exact"/>
        <w:rPr>
          <w:sz w:val="20"/>
          <w:szCs w:val="20"/>
          <w:color w:val="auto"/>
        </w:rPr>
      </w:pPr>
    </w:p>
    <w:p>
      <w:pPr>
        <w:jc w:val="both"/>
        <w:ind w:left="4" w:right="20" w:hanging="4"/>
        <w:spacing w:after="0" w:line="252" w:lineRule="auto"/>
        <w:tabs>
          <w:tab w:leader="none" w:pos="27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a Lender, any U.S. federal withholding Tax that (i) is imposed pursuant to any Requirement of Laws in effect at the time such Lender (i) becomes a party to this Agreement (other than an assignee pursuant to a request by the Borrower under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or</w:t>
      </w:r>
    </w:p>
    <w:p>
      <w:pPr>
        <w:jc w:val="both"/>
        <w:ind w:left="4" w:right="20" w:hanging="4"/>
        <w:spacing w:after="0" w:line="241" w:lineRule="auto"/>
        <w:tabs>
          <w:tab w:leader="none" w:pos="30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designates a new lending office, except in each case to the extent that such Lender (or its assignor, if any) was entitled, immediately prior to the designation of a new lending office (or assignment), to receive additional amounts from any Loan Party with respect to such withholding Tax pursuant to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xml:space="preserve">, or (ii) is attributable to such Lender’s failure to comply with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 xml:space="preserve"> and (d) any withholding Taxes imposed pursuant to FATCA.</w:t>
      </w:r>
    </w:p>
    <w:p>
      <w:pPr>
        <w:spacing w:after="0" w:line="188"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Labor Standards Act</w:t>
      </w:r>
      <w:r>
        <w:rPr>
          <w:rFonts w:ascii="Times New Roman" w:cs="Times New Roman" w:eastAsia="Times New Roman" w:hAnsi="Times New Roman"/>
          <w:sz w:val="20"/>
          <w:szCs w:val="20"/>
          <w:color w:val="auto"/>
        </w:rPr>
        <w:t xml:space="preserve">” means the Fair Labor Standards Act, 29 U.S.C. §§ 201 et </w:t>
      </w:r>
      <w:r>
        <w:rPr>
          <w:rFonts w:ascii="Times New Roman" w:cs="Times New Roman" w:eastAsia="Times New Roman" w:hAnsi="Times New Roman"/>
          <w:sz w:val="20"/>
          <w:szCs w:val="20"/>
          <w:u w:val="single" w:color="auto"/>
          <w:color w:val="auto"/>
        </w:rPr>
        <w:t>seq</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thereunder or official interpretations thereof and any agreements entered into pursuant to Section 1471(b)(1) of the Code as of the date of this Agreement (or any amended or successor version described above), any intergovernmental agreement, treaty, or convention (or related laws, regulations or official administrative guidance) implementing the foregoing.</w:t>
      </w:r>
    </w:p>
    <w:p>
      <w:pPr>
        <w:spacing w:after="0" w:line="185" w:lineRule="exact"/>
        <w:rPr>
          <w:sz w:val="20"/>
          <w:szCs w:val="20"/>
          <w:color w:val="auto"/>
        </w:rPr>
      </w:pPr>
    </w:p>
    <w:p>
      <w:pPr>
        <w:jc w:val="both"/>
        <w:ind w:left="4" w:right="20"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Overnight Bank Funding Rate.</w:t>
      </w:r>
    </w:p>
    <w:p>
      <w:pPr>
        <w:spacing w:after="0" w:line="185"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Fee Letter, dated as of March 9, 2019, by and among the Borrower, Citigroup Global Markets Inc. and JPMorgan Chase Bank, N.A.</w:t>
      </w:r>
    </w:p>
    <w:p>
      <w:pPr>
        <w:spacing w:after="0" w:line="15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Covenants</w:t>
      </w:r>
      <w:r>
        <w:rPr>
          <w:rFonts w:ascii="Times New Roman" w:cs="Times New Roman" w:eastAsia="Times New Roman" w:hAnsi="Times New Roman"/>
          <w:sz w:val="20"/>
          <w:szCs w:val="20"/>
          <w:color w:val="auto"/>
        </w:rPr>
        <w:t xml:space="preserve">” means the covenants set forth in </w:t>
      </w:r>
      <w:r>
        <w:rPr>
          <w:rFonts w:ascii="Times New Roman" w:cs="Times New Roman" w:eastAsia="Times New Roman" w:hAnsi="Times New Roman"/>
          <w:sz w:val="20"/>
          <w:szCs w:val="20"/>
          <w:u w:val="single" w:color="auto"/>
          <w:color w:val="auto"/>
        </w:rPr>
        <w:t>Sections 6.08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Borrower.</w:t>
      </w:r>
    </w:p>
    <w:p>
      <w:pPr>
        <w:spacing w:after="0" w:line="216"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means, with respect to the Borrower and its Restricted Subsidiaries for any period, the sum of, without duplication:</w:t>
      </w:r>
    </w:p>
    <w:p>
      <w:pPr>
        <w:spacing w:after="0" w:line="159" w:lineRule="exact"/>
        <w:rPr>
          <w:sz w:val="20"/>
          <w:szCs w:val="20"/>
          <w:color w:val="auto"/>
        </w:rPr>
      </w:pPr>
    </w:p>
    <w:p>
      <w:pPr>
        <w:ind w:left="1764" w:hanging="276"/>
        <w:spacing w:after="0"/>
        <w:tabs>
          <w:tab w:leader="none" w:pos="176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Cash Interest Expense of the Borrower and its Restricted Subsidiaries for such period;</w:t>
      </w:r>
    </w:p>
    <w:p>
      <w:pPr>
        <w:spacing w:after="0" w:line="215" w:lineRule="exact"/>
        <w:rPr>
          <w:rFonts w:ascii="Times New Roman" w:cs="Times New Roman" w:eastAsia="Times New Roman" w:hAnsi="Times New Roman"/>
          <w:sz w:val="20"/>
          <w:szCs w:val="20"/>
          <w:color w:val="auto"/>
        </w:rPr>
      </w:pPr>
    </w:p>
    <w:p>
      <w:pPr>
        <w:ind w:left="764" w:right="20" w:firstLine="724"/>
        <w:spacing w:after="0" w:line="269" w:lineRule="auto"/>
        <w:tabs>
          <w:tab w:leader="none" w:pos="17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dividends or other distributions paid (excluding items eliminated in consolidation) on any series of preferred stock during such period; and</w:t>
      </w:r>
    </w:p>
    <w:p>
      <w:pPr>
        <w:spacing w:after="0" w:line="159" w:lineRule="exact"/>
        <w:rPr>
          <w:rFonts w:ascii="Times New Roman" w:cs="Times New Roman" w:eastAsia="Times New Roman" w:hAnsi="Times New Roman"/>
          <w:sz w:val="20"/>
          <w:szCs w:val="20"/>
          <w:color w:val="auto"/>
        </w:rPr>
      </w:pPr>
    </w:p>
    <w:p>
      <w:pPr>
        <w:ind w:left="764" w:right="20" w:firstLine="724"/>
        <w:spacing w:after="0" w:line="269" w:lineRule="auto"/>
        <w:tabs>
          <w:tab w:leader="none" w:pos="18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cash dividends or other distributions paid (excluding items eliminated in consolidation) on any series of Disqualified Equity Interests during such period.</w:t>
      </w:r>
    </w:p>
    <w:p>
      <w:pPr>
        <w:spacing w:after="0" w:line="159" w:lineRule="exact"/>
        <w:rPr>
          <w:sz w:val="20"/>
          <w:szCs w:val="20"/>
          <w:color w:val="auto"/>
        </w:rPr>
      </w:pPr>
    </w:p>
    <w:p>
      <w:pPr>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Benefit Event</w:t>
      </w:r>
      <w:r>
        <w:rPr>
          <w:rFonts w:ascii="Times New Roman" w:cs="Times New Roman" w:eastAsia="Times New Roman" w:hAnsi="Times New Roman"/>
          <w:sz w:val="20"/>
          <w:szCs w:val="20"/>
          <w:color w:val="auto"/>
        </w:rPr>
        <w:t>” means, with respect to any Foreign Pension Plan, (a) the existence of unfunded liabilities in excess of the amount permitted under any applicable Law or in excess of the</w:t>
      </w:r>
    </w:p>
    <w:p>
      <w:pPr>
        <w:spacing w:after="0" w:line="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024"/>
          </w:cols>
          <w:pgMar w:left="436" w:top="265" w:right="439" w:bottom="1440" w:gutter="0" w:footer="0" w:header="0"/>
        </w:sectPr>
      </w:pPr>
    </w:p>
    <w:bookmarkStart w:id="39" w:name="page40"/>
    <w:bookmarkEnd w:id="3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that would be permitted absent a waiver from any applicable Governmental Authority or (b) the failure to make the required contributions or payments, under any applicable Law, on or before the due date for such contributions or payments.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“United States person” as defined in Section 7701(a)(30) of the Code.</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Pension Plan</w:t>
      </w:r>
      <w:r>
        <w:rPr>
          <w:rFonts w:ascii="Times New Roman" w:cs="Times New Roman" w:eastAsia="Times New Roman" w:hAnsi="Times New Roman"/>
          <w:sz w:val="20"/>
          <w:szCs w:val="20"/>
          <w:color w:val="auto"/>
        </w:rPr>
        <w:t>” means any benefit plan that under applicable Law is required to be funded through a trust or other funding vehicle other than a trust or funding vehicle maintained exclusively by a Governmental Authority.</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with respect to any Person, any subsidiary of such Person that is not organized under the laws of the United States of America, any state thereof or the District of Columbia.</w:t>
      </w:r>
    </w:p>
    <w:p>
      <w:pPr>
        <w:spacing w:after="0" w:line="155" w:lineRule="exact"/>
        <w:rPr>
          <w:sz w:val="20"/>
          <w:szCs w:val="20"/>
          <w:color w:val="auto"/>
        </w:rPr>
      </w:pPr>
    </w:p>
    <w:p>
      <w:pPr>
        <w:jc w:val="both"/>
        <w:ind w:firstLine="77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generally accepted accounting principles in the United States of America;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may make a one-time election to switch to IFRS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80"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GIC Funds</w:t>
      </w:r>
      <w:r>
        <w:rPr>
          <w:rFonts w:ascii="Times New Roman" w:cs="Times New Roman" w:eastAsia="Times New Roman" w:hAnsi="Times New Roman"/>
          <w:sz w:val="20"/>
          <w:szCs w:val="20"/>
          <w:color w:val="auto"/>
        </w:rPr>
        <w:t>” means, individually or collectively, any investment fund, co-investment vehicles and/or other similar vehicles or accounts, in each case managed or advised by an Affiliate of Suzuka Investment Pte Ltd., or any of their respective successors.</w:t>
      </w:r>
    </w:p>
    <w:p>
      <w:pPr>
        <w:spacing w:after="0" w:line="159"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monetary obligation payable or performance by another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monetary obligation payable or performance by another or to purchase (or to advance or supply funds for the purchase of) any security for the payment thereof, (b) to purchase or lease property, securities or services for the purpose of assuring the owner of such Indebtedness or other monetary obligation payable or performance by another of the payment thereof, (c) to maintain working capital, equity capital or any other financial statement condition or liquidity of the primary obligor so as to enable the primary obligor to pay such Indebtedness or other monetary obligation payable or performance by another or (d) as an account party in respect of any letter of credit or letter of guaranty issued to support such Indebtedness or other monetary obligation payable or performance by another ;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term Guarantee shall not include endorsements for collection or deposit in the ordinary course of business.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means, collectively, (i) the Domestic Subsidiaries of the Borrower (other than any Excluded Subsidiary), (ii) those Domestic Subsidiaries of the Borrower that issue a Guaranty of the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020"/>
          </w:cols>
          <w:pgMar w:left="440" w:top="265" w:right="439" w:bottom="1440" w:gutter="0" w:footer="0" w:header="0"/>
        </w:sectPr>
      </w:pPr>
    </w:p>
    <w:bookmarkStart w:id="40" w:name="page41"/>
    <w:bookmarkEnd w:id="40"/>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after the Closing Date pursuant to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or any other Person (including any Excluded Subsidiary) organized under the laws of the United States, any state thereof or the District of Columbia or, to the extent reasonably acceptable to the Administrative Agent (and subject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Collateral and Guarantee Requirement), any other jurisdiction that, at the option of the Borrower, issues a Guaranty of the Obligations after the Closing Date and (iii) solely in respect of any Secured Hedge Agreement or Treasury Services Agreement to which the Borrower is not a party, the Borrower, in each case, until the Guaranty thereof is released in accordance with this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means, collectively, the guaranty of the Obligations by the Guarantors pursuant to this Agreement.</w:t>
      </w:r>
    </w:p>
    <w:p>
      <w:pPr>
        <w:spacing w:after="0" w:line="216"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180"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means (a) the audited consolidated statement of financial condition of the Borrower and its Subsidiaries as of December 31, 2018, December 31, 2017 and December 31, 2016 and the audited consolidated statements of income, changes in members’ capital and accumulated other comprehensive income and cash flows of the Borrower and its Subsidiaries for each year of the three-year period ended December 31, 2018 and (ii) the unaudited consolidated statement of financial condition of the Borrower and its Subsidiaries as of each fiscal quarter thereafter ending at least 45 days prior to the Closing Date (other than the fourth fiscal quarter) and the unaudited consolidated statements of income, changes in members’ capital and accumulated other comprehensive income of the Borrower and its Subsidiaries for each fiscal quarter thereafter ending at least 45 days prior to the Closing Date (other than the fourth fiscal quarter).</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2.05(a)(x)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the International Financial Reporting Standards issued and/or adopted by the International Accounting Standards Board, as in effect from time to time.</w:t>
      </w:r>
    </w:p>
    <w:p>
      <w:pPr>
        <w:spacing w:after="0" w:line="159" w:lineRule="exact"/>
        <w:rPr>
          <w:sz w:val="20"/>
          <w:szCs w:val="20"/>
          <w:color w:val="auto"/>
        </w:rPr>
      </w:pPr>
    </w:p>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Immediate Family Members</w:t>
      </w:r>
      <w:r>
        <w:rPr>
          <w:rFonts w:ascii="Times New Roman" w:cs="Times New Roman" w:eastAsia="Times New Roman" w:hAnsi="Times New Roman"/>
          <w:sz w:val="20"/>
          <w:szCs w:val="20"/>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means an amendment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creating Incremental Revolving Commitments.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Closing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020"/>
          </w:cols>
          <w:pgMar w:left="440" w:top="265" w:right="439" w:bottom="1440" w:gutter="0" w:footer="0" w:header="0"/>
        </w:sectPr>
      </w:pPr>
    </w:p>
    <w:bookmarkStart w:id="41" w:name="page42"/>
    <w:bookmarkEnd w:id="41"/>
    <w:p>
      <w:pPr>
        <w:jc w:val="both"/>
        <w:ind w:firstLine="771"/>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Excluded Indebtedness),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of such Person as an account party in respect of letters of credit and letters of guaranty (but only to the extent drawn and not reimbursed) and (j) 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(x) contingent post-closing purchase price adjustments or earn-outs to which the seller in any acquisition may become entitled and (y) at the Borrower’s option, other than for purposes of </w:t>
      </w:r>
      <w:r>
        <w:rPr>
          <w:rFonts w:ascii="Times New Roman" w:cs="Times New Roman" w:eastAsia="Times New Roman" w:hAnsi="Times New Roman"/>
          <w:sz w:val="20"/>
          <w:szCs w:val="20"/>
          <w:u w:val="single" w:color="auto"/>
          <w:color w:val="auto"/>
        </w:rPr>
        <w:t>Sections 7.01(f)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ordinary course borrowings for fail financing and clearing house margin requirements (to the extent excluded, “</w:t>
      </w:r>
      <w:r>
        <w:rPr>
          <w:rFonts w:ascii="Times New Roman" w:cs="Times New Roman" w:eastAsia="Times New Roman" w:hAnsi="Times New Roman"/>
          <w:sz w:val="20"/>
          <w:szCs w:val="20"/>
          <w:u w:val="single" w:color="auto"/>
          <w:color w:val="auto"/>
        </w:rPr>
        <w:t>Excluded Indebtedness</w:t>
      </w:r>
      <w:r>
        <w:rPr>
          <w:rFonts w:ascii="Times New Roman" w:cs="Times New Roman" w:eastAsia="Times New Roman" w:hAnsi="Times New Roman"/>
          <w:sz w:val="20"/>
          <w:szCs w:val="20"/>
          <w:color w:val="auto"/>
        </w:rPr>
        <w:t>”)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means all Taxes other than Excluded Taxes and Other Taxes.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Agreements</w:t>
      </w:r>
      <w:r>
        <w:rPr>
          <w:rFonts w:ascii="Times New Roman" w:cs="Times New Roman" w:eastAsia="Times New Roman" w:hAnsi="Times New Roman"/>
          <w:sz w:val="20"/>
          <w:szCs w:val="20"/>
          <w:color w:val="auto"/>
        </w:rPr>
        <w:t>” has the meaning set forth in the Security Agreement.</w:t>
      </w:r>
    </w:p>
    <w:p>
      <w:pPr>
        <w:spacing w:after="0" w:line="216"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License Agreement</w:t>
      </w:r>
      <w:r>
        <w:rPr>
          <w:rFonts w:ascii="Times New Roman" w:cs="Times New Roman" w:eastAsia="Times New Roman" w:hAnsi="Times New Roman"/>
          <w:sz w:val="20"/>
          <w:szCs w:val="20"/>
          <w:color w:val="auto"/>
        </w:rPr>
        <w:t>” means any cost-sharing agreement, commission or royalty agreement, license or sub-license agreement, distribution agreement, services agreement, IP Rights transfer agreement or any related agreements, in each case where all the parties to such agreement are one or more of the Borrower and any Restricted Subsidiary.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means a promissory note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xml:space="preserve">” means (a) with respect to Indebtedness intended to be secured on a pari passu basis with the Obligations, an intercreditor agreement substantially on the terms set forth on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xml:space="preserve"> hereto (except to the extent otherwise reasonably agreed by the Borrower and the Administrative Agent) between the Collateral Agent and one or more collateral agents or representatives for the holders of Indebtedness that is not prohibited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otherwise on such terms that are reasonably satisfactory to the Administrative Agent and the Borrower and (b) with respect to Indebtedness intended to be secured on a junior lien basis to the Obligations, an intercreditor agreement substantially on the terms set forth on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xml:space="preserve"> hereto (except to the extent otherwise reasonably agreed by the Borrower and the Administrative Agent) between, the Collateral Agent and one or more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020"/>
          </w:cols>
          <w:pgMar w:left="440" w:top="265" w:right="439" w:bottom="1440" w:gutter="0" w:footer="0" w:header="0"/>
        </w:sectPr>
      </w:pPr>
    </w:p>
    <w:bookmarkStart w:id="42" w:name="page43"/>
    <w:bookmarkEnd w:id="42"/>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collateral agents or representatives for the holders of Indebtedness that is not prohibited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otherwise on such terms that are reasonably satisfactory to the Administrative Agent and the Borrower.</w:t>
      </w:r>
    </w:p>
    <w:p>
      <w:pPr>
        <w:spacing w:after="0" w:line="159"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with respect to any Test Period, the ratio of (a) Consolidated EBITDA to (b) Consolidated Cash Interest Expense for such Test Period.</w:t>
      </w:r>
    </w:p>
    <w:p>
      <w:pPr>
        <w:spacing w:after="0" w:line="159" w:lineRule="exact"/>
        <w:rPr>
          <w:sz w:val="20"/>
          <w:szCs w:val="20"/>
          <w:color w:val="auto"/>
        </w:rPr>
      </w:pPr>
    </w:p>
    <w:p>
      <w:pPr>
        <w:jc w:val="both"/>
        <w:ind w:left="4"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w:t>
      </w:r>
      <w:r>
        <w:rPr>
          <w:rFonts w:ascii="Times New Roman" w:cs="Times New Roman" w:eastAsia="Times New Roman" w:hAnsi="Times New Roman"/>
          <w:sz w:val="20"/>
          <w:szCs w:val="20"/>
          <w:color w:val="FF0000"/>
          <w:strike w:val="1"/>
        </w:rPr>
        <w:t>with respect</w:t>
      </w:r>
      <w:r>
        <w:rPr>
          <w:rFonts w:ascii="Times New Roman" w:cs="Times New Roman" w:eastAsia="Times New Roman" w:hAnsi="Times New Roman"/>
          <w:sz w:val="20"/>
          <w:szCs w:val="20"/>
          <w:u w:val="single" w:color="auto"/>
          <w:color w:val="0000FF"/>
        </w:rPr>
        <w:t>as</w:t>
      </w:r>
      <w:r>
        <w:rPr>
          <w:rFonts w:ascii="Times New Roman" w:cs="Times New Roman" w:eastAsia="Times New Roman" w:hAnsi="Times New Roman"/>
          <w:sz w:val="20"/>
          <w:szCs w:val="20"/>
          <w:color w:val="auto"/>
        </w:rPr>
        <w:t xml:space="preserve"> to any ABR Loan </w:t>
      </w:r>
      <w:r>
        <w:rPr>
          <w:rFonts w:ascii="Times New Roman" w:cs="Times New Roman" w:eastAsia="Times New Roman" w:hAnsi="Times New Roman"/>
          <w:sz w:val="20"/>
          <w:szCs w:val="20"/>
          <w:color w:val="0000FF"/>
        </w:rPr>
        <w:t>or any Daily Simple RFR Loan</w:t>
      </w:r>
      <w:r>
        <w:rPr>
          <w:rFonts w:ascii="Times New Roman" w:cs="Times New Roman" w:eastAsia="Times New Roman" w:hAnsi="Times New Roman"/>
          <w:sz w:val="20"/>
          <w:szCs w:val="20"/>
          <w:color w:val="auto"/>
        </w:rPr>
        <w:t xml:space="preserve">, the last Business Day of each March, June, September and December and the Maturity Date </w:t>
      </w:r>
      <w:r>
        <w:rPr>
          <w:rFonts w:ascii="Times New Roman" w:cs="Times New Roman" w:eastAsia="Times New Roman" w:hAnsi="Times New Roman"/>
          <w:sz w:val="20"/>
          <w:szCs w:val="20"/>
          <w:color w:val="FF0000"/>
        </w:rPr>
        <w:t>of such Loan</w:t>
      </w:r>
      <w:r>
        <w:rPr>
          <w:rFonts w:ascii="Times New Roman" w:cs="Times New Roman" w:eastAsia="Times New Roman" w:hAnsi="Times New Roman"/>
          <w:sz w:val="20"/>
          <w:szCs w:val="20"/>
          <w:color w:val="auto"/>
        </w:rPr>
        <w:t xml:space="preserve"> and (b) </w:t>
      </w:r>
      <w:r>
        <w:rPr>
          <w:rFonts w:ascii="Times New Roman" w:cs="Times New Roman" w:eastAsia="Times New Roman" w:hAnsi="Times New Roman"/>
          <w:sz w:val="20"/>
          <w:szCs w:val="20"/>
          <w:color w:val="FF0000"/>
          <w:strike w:val="1"/>
        </w:rPr>
        <w:t>with respect</w:t>
      </w:r>
      <w:r>
        <w:rPr>
          <w:rFonts w:ascii="Times New Roman" w:cs="Times New Roman" w:eastAsia="Times New Roman" w:hAnsi="Times New Roman"/>
          <w:sz w:val="20"/>
          <w:szCs w:val="20"/>
          <w:u w:val="single" w:color="auto"/>
          <w:color w:val="0000FF"/>
        </w:rPr>
        <w:t>as</w:t>
      </w:r>
      <w:r>
        <w:rPr>
          <w:rFonts w:ascii="Times New Roman" w:cs="Times New Roman" w:eastAsia="Times New Roman" w:hAnsi="Times New Roman"/>
          <w:sz w:val="20"/>
          <w:szCs w:val="20"/>
          <w:color w:val="auto"/>
        </w:rPr>
        <w:t xml:space="preserve"> to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EURIBOR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Rate Loan or Term SOFR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the last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Business Day</w:t>
      </w:r>
      <w:r>
        <w:rPr>
          <w:rFonts w:ascii="Times New Roman" w:cs="Times New Roman" w:eastAsia="Times New Roman" w:hAnsi="Times New Roman"/>
          <w:sz w:val="20"/>
          <w:szCs w:val="20"/>
          <w:u w:val="single" w:color="auto"/>
          <w:color w:val="0000FF"/>
        </w:rPr>
        <w:t>day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the</w:t>
      </w:r>
      <w:r>
        <w:rPr>
          <w:rFonts w:ascii="Times New Roman" w:cs="Times New Roman" w:eastAsia="Times New Roman" w:hAnsi="Times New Roman"/>
          <w:sz w:val="20"/>
          <w:szCs w:val="20"/>
          <w:u w:val="single" w:color="auto"/>
          <w:color w:val="0000FF"/>
        </w:rPr>
        <w:t>each</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Interest Period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applicable to the Borrowing of which such Loan is 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part</w:t>
      </w:r>
      <w:r>
        <w:rPr>
          <w:rFonts w:ascii="Times New Roman" w:cs="Times New Roman" w:eastAsia="Times New Roman" w:hAnsi="Times New Roman"/>
          <w:sz w:val="20"/>
          <w:szCs w:val="20"/>
          <w:u w:val="single" w:color="auto"/>
          <w:color w:val="0000FF"/>
        </w:rPr>
        <w:t>therefor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in the case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a Eurocurrency Borrowing with an</w:t>
      </w:r>
      <w:r>
        <w:rPr>
          <w:rFonts w:ascii="Times New Roman" w:cs="Times New Roman" w:eastAsia="Times New Roman" w:hAnsi="Times New Roman"/>
          <w:sz w:val="20"/>
          <w:szCs w:val="20"/>
          <w:u w:val="single" w:color="auto"/>
          <w:color w:val="0000FF"/>
        </w:rPr>
        <w:t>any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Interest Period of more than three months’ duration, each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Business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Day</w:t>
      </w:r>
      <w:r>
        <w:rPr>
          <w:rFonts w:ascii="Times New Roman" w:cs="Times New Roman" w:eastAsia="Times New Roman" w:hAnsi="Times New Roman"/>
          <w:sz w:val="20"/>
          <w:szCs w:val="20"/>
          <w:u w:val="single" w:color="auto"/>
          <w:color w:val="0000FF"/>
        </w:rPr>
        <w:t>day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prior to the last day of such Interest Period that occurs at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three-month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intervals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of three months’ duration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after the first day of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Interest Period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000000"/>
        </w:rPr>
        <w:t xml:space="preserve"> and the Maturity Date </w:t>
      </w:r>
      <w:r>
        <w:rPr>
          <w:rFonts w:ascii="Times New Roman" w:cs="Times New Roman" w:eastAsia="Times New Roman" w:hAnsi="Times New Roman"/>
          <w:sz w:val="20"/>
          <w:szCs w:val="20"/>
          <w:color w:val="FF0000"/>
        </w:rPr>
        <w:t>of such Loan</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-725170</wp:posOffset>
            </wp:positionV>
            <wp:extent cx="1663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-759460</wp:posOffset>
            </wp:positionV>
            <wp:extent cx="1664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64970"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-664845</wp:posOffset>
            </wp:positionV>
            <wp:extent cx="7131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105" cy="8890"/>
                    </a:xfrm>
                    <a:prstGeom prst="rect">
                      <a:avLst/>
                    </a:prstGeom>
                    <a:noFill/>
                  </pic:spPr>
                </pic:pic>
              </a:graphicData>
            </a:graphic>
          </wp:anchor>
        </w:drawing>
        <w:drawing>
          <wp:anchor simplePos="0" relativeHeight="251657728" behindDoc="1" locked="0" layoutInCell="0" allowOverlap="1">
            <wp:simplePos x="0" y="0"/>
            <wp:positionH relativeFrom="column">
              <wp:posOffset>1905000</wp:posOffset>
            </wp:positionH>
            <wp:positionV relativeFrom="paragraph">
              <wp:posOffset>-81915</wp:posOffset>
            </wp:positionV>
            <wp:extent cx="6870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7070" cy="8255"/>
                    </a:xfrm>
                    <a:prstGeom prst="rect">
                      <a:avLst/>
                    </a:prstGeom>
                    <a:noFill/>
                  </pic:spPr>
                </pic:pic>
              </a:graphicData>
            </a:graphic>
          </wp:anchor>
        </w:drawing>
      </w:r>
    </w:p>
    <w:p>
      <w:pPr>
        <w:spacing w:after="0" w:line="164" w:lineRule="exact"/>
        <w:rPr>
          <w:sz w:val="20"/>
          <w:szCs w:val="20"/>
          <w:color w:val="auto"/>
        </w:rPr>
      </w:pPr>
    </w:p>
    <w:p>
      <w:pPr>
        <w:jc w:val="both"/>
        <w:ind w:left="4"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w:t>
      </w:r>
      <w:r>
        <w:rPr>
          <w:rFonts w:ascii="Times New Roman" w:cs="Times New Roman" w:eastAsia="Times New Roman" w:hAnsi="Times New Roman"/>
          <w:sz w:val="20"/>
          <w:szCs w:val="20"/>
          <w:color w:val="0000FF"/>
        </w:rPr>
        <w:t>or EURIBOR Rate Borrowing</w:t>
      </w:r>
      <w:r>
        <w:rPr>
          <w:rFonts w:ascii="Times New Roman" w:cs="Times New Roman" w:eastAsia="Times New Roman" w:hAnsi="Times New Roman"/>
          <w:sz w:val="20"/>
          <w:szCs w:val="20"/>
          <w:color w:val="auto"/>
        </w:rPr>
        <w:t xml:space="preserve">, the period commencing on the date of such Borrowing and ending on the numerically corresponding day in the calendar month that is one, </w:t>
      </w:r>
      <w:r>
        <w:rPr>
          <w:rFonts w:ascii="Times New Roman" w:cs="Times New Roman" w:eastAsia="Times New Roman" w:hAnsi="Times New Roman"/>
          <w:sz w:val="20"/>
          <w:szCs w:val="20"/>
          <w:color w:val="FF0000"/>
          <w:strike w:val="1"/>
        </w:rPr>
        <w:t>two,</w:t>
      </w:r>
      <w:r>
        <w:rPr>
          <w:rFonts w:ascii="Times New Roman" w:cs="Times New Roman" w:eastAsia="Times New Roman" w:hAnsi="Times New Roman"/>
          <w:sz w:val="20"/>
          <w:szCs w:val="20"/>
          <w:color w:val="auto"/>
        </w:rPr>
        <w:t xml:space="preserve"> three or six months thereafter </w:t>
      </w:r>
      <w:r>
        <w:rPr>
          <w:rFonts w:ascii="Times New Roman" w:cs="Times New Roman" w:eastAsia="Times New Roman" w:hAnsi="Times New Roman"/>
          <w:sz w:val="20"/>
          <w:szCs w:val="20"/>
          <w:color w:val="FF0000"/>
        </w:rPr>
        <w:t>(or such other period reasonably satisfactory to the Administrative Agent that is twelve months or less if,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time of the relevant Borrowing, all Lenders participating therein agree to make an interest period of such duration available)</w:t>
      </w:r>
      <w:r>
        <w:rPr>
          <w:rFonts w:ascii="Times New Roman" w:cs="Times New Roman" w:eastAsia="Times New Roman" w:hAnsi="Times New Roman"/>
          <w:sz w:val="20"/>
          <w:szCs w:val="20"/>
          <w:color w:val="000000"/>
        </w:rPr>
        <w:t>, as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Borrower may elect;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-1597660</wp:posOffset>
            </wp:positionV>
            <wp:extent cx="16287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-1631950</wp:posOffset>
            </wp:positionV>
            <wp:extent cx="16249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4965"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-1391920</wp:posOffset>
            </wp:positionV>
            <wp:extent cx="57734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3420" cy="8255"/>
                    </a:xfrm>
                    <a:prstGeom prst="rect">
                      <a:avLst/>
                    </a:prstGeom>
                    <a:noFill/>
                  </pic:spPr>
                </pic:pic>
              </a:graphicData>
            </a:graphic>
          </wp:anchor>
        </w:drawing>
      </w:r>
    </w:p>
    <w:p>
      <w:pPr>
        <w:spacing w:after="0" w:line="167" w:lineRule="exact"/>
        <w:rPr>
          <w:sz w:val="20"/>
          <w:szCs w:val="20"/>
          <w:color w:val="auto"/>
        </w:rPr>
      </w:pPr>
    </w:p>
    <w:p>
      <w:pPr>
        <w:jc w:val="both"/>
        <w:ind w:left="4"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of all or substantially all the assets of, or the assets constituting a division, line of business or business unit of, a Person.</w:t>
      </w:r>
    </w:p>
    <w:p>
      <w:pPr>
        <w:spacing w:after="0" w:line="189" w:lineRule="exact"/>
        <w:rPr>
          <w:sz w:val="20"/>
          <w:szCs w:val="20"/>
          <w:color w:val="auto"/>
        </w:rPr>
      </w:pPr>
    </w:p>
    <w:p>
      <w:pPr>
        <w:jc w:val="both"/>
        <w:ind w:left="4"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means a corporate rating equal to or higher than Baa3 (or the equivalent) by Moody’s and BBB- (or the equivalent) by S&amp;P, in each case with a stable outlook.</w:t>
      </w:r>
    </w:p>
    <w:p>
      <w:pPr>
        <w:spacing w:after="0" w:line="159"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Investors</w:t>
      </w:r>
      <w:r>
        <w:rPr>
          <w:rFonts w:ascii="Times New Roman" w:cs="Times New Roman" w:eastAsia="Times New Roman" w:hAnsi="Times New Roman"/>
          <w:sz w:val="20"/>
          <w:szCs w:val="20"/>
          <w:color w:val="auto"/>
        </w:rPr>
        <w:t>” means each of (a) the Blackstone Funds and any of their Affiliates (other than any portfolio operating companies),</w:t>
      </w:r>
    </w:p>
    <w:p>
      <w:pPr>
        <w:spacing w:after="0" w:line="22" w:lineRule="exact"/>
        <w:rPr>
          <w:sz w:val="20"/>
          <w:szCs w:val="20"/>
          <w:color w:val="auto"/>
        </w:rPr>
      </w:pPr>
    </w:p>
    <w:p>
      <w:pPr>
        <w:ind w:left="4" w:right="20" w:hanging="4"/>
        <w:spacing w:after="0" w:line="246" w:lineRule="auto"/>
        <w:tabs>
          <w:tab w:leader="none" w:pos="28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CPPIB Funds and any of their Affiliates (other than any portfolio operating companies), (c) the GIC Funds and any of its Affiliates (other than any portfolio operating</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024"/>
          </w:cols>
          <w:pgMar w:left="436" w:top="265" w:right="439" w:bottom="1440" w:gutter="0" w:footer="0" w:header="0"/>
        </w:sectPr>
      </w:pPr>
    </w:p>
    <w:bookmarkStart w:id="43" w:name="page44"/>
    <w:bookmarkEnd w:id="43"/>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companies), (d) Refinitiv Holdings Ltd. (formerly known as King (Cayman) Holdings Ltd.) and any of its controlled Affiliates and any of their respective Subsidiaries, or (e) London Stock Exchange Group PLC and any of its controlled Affiliates.</w:t>
      </w:r>
    </w:p>
    <w:p>
      <w:pPr>
        <w:spacing w:after="0" w:line="159"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Rights</w:t>
      </w:r>
      <w:r>
        <w:rPr>
          <w:rFonts w:ascii="Times New Roman" w:cs="Times New Roman" w:eastAsia="Times New Roman" w:hAnsi="Times New Roman"/>
          <w:sz w:val="20"/>
          <w:szCs w:val="20"/>
          <w:color w:val="auto"/>
        </w:rPr>
        <w:t>” means trademarks, service marks, trade names, domain names, copyrights, patents, patent rights, licenses, technology, software, know-how, database rights, design rights and other intellectual property rights.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IPO</w:t>
      </w:r>
      <w:r>
        <w:rPr>
          <w:rFonts w:ascii="Times New Roman" w:cs="Times New Roman" w:eastAsia="Times New Roman" w:hAnsi="Times New Roman"/>
          <w:sz w:val="20"/>
          <w:szCs w:val="20"/>
          <w:color w:val="auto"/>
        </w:rPr>
        <w:t>” means the initial public offering of the common shares of Tradeweb Markets Inc.</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spacing w:after="0" w:line="174"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xml:space="preserve">” means (a) initially, Citibank, N.A., in its capacity as an issuer of Letters of Credit hereunder, and (b) any other Revolving Lender that becomes an Issuing Bank in accordance with </w:t>
      </w:r>
      <w:r>
        <w:rPr>
          <w:rFonts w:ascii="Times New Roman" w:cs="Times New Roman" w:eastAsia="Times New Roman" w:hAnsi="Times New Roman"/>
          <w:sz w:val="20"/>
          <w:szCs w:val="20"/>
          <w:u w:val="single" w:color="auto"/>
          <w:color w:val="auto"/>
        </w:rPr>
        <w:t>Section 2.05(i)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9.04(g)</w:t>
      </w:r>
      <w:r>
        <w:rPr>
          <w:rFonts w:ascii="Times New Roman" w:cs="Times New Roman" w:eastAsia="Times New Roman" w:hAnsi="Times New Roman"/>
          <w:sz w:val="20"/>
          <w:szCs w:val="20"/>
          <w:color w:val="auto"/>
        </w:rPr>
        <w:t>,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5"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Bookrunning Managers</w:t>
      </w:r>
      <w:r>
        <w:rPr>
          <w:rFonts w:ascii="Times New Roman" w:cs="Times New Roman" w:eastAsia="Times New Roman" w:hAnsi="Times New Roman"/>
          <w:sz w:val="20"/>
          <w:szCs w:val="20"/>
          <w:color w:val="auto"/>
        </w:rPr>
        <w:t>” means Citigroup Global Markets Inc., JPMorgan Chase Bank, N.A., Morgan Stanley Senior Funding, Inc. and Goldman Sachs Bank USA, in their capacities as joint bookrunning managers.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assigned to such term by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Revolving Lender, such Lender’s funding of its participation in any LC Borrowing in accordance with its Applicable Percentage.</w:t>
      </w:r>
    </w:p>
    <w:p>
      <w:pPr>
        <w:spacing w:after="0" w:line="159" w:lineRule="exact"/>
        <w:rPr>
          <w:sz w:val="20"/>
          <w:szCs w:val="20"/>
          <w:color w:val="auto"/>
        </w:rPr>
      </w:pPr>
    </w:p>
    <w:p>
      <w:pPr>
        <w:jc w:val="both"/>
        <w:ind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by the Borrower on the date when made or refinanced as a Revolving Loan. All LC Borrowings shall be denominated in Dollars.</w:t>
      </w:r>
    </w:p>
    <w:p>
      <w:pPr>
        <w:spacing w:after="0" w:line="17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16" w:lineRule="exact"/>
        <w:rPr>
          <w:sz w:val="20"/>
          <w:szCs w:val="20"/>
          <w:color w:val="auto"/>
        </w:rPr>
      </w:pPr>
    </w:p>
    <w:p>
      <w:pPr>
        <w:jc w:val="both"/>
        <w:ind w:right="20"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aggregate of all Unreimbursed Amounts in respect of Letters of Credit, including all LC Borrowings in respect of Letters of Credit.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020"/>
          </w:cols>
          <w:pgMar w:left="440" w:top="265" w:right="439" w:bottom="1440" w:gutter="0" w:footer="0" w:header="0"/>
        </w:sectPr>
      </w:pPr>
    </w:p>
    <w:bookmarkStart w:id="44" w:name="page45"/>
    <w:bookmarkEnd w:id="4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in the amount so remaining available to be drawn. The LC Exposure of any Revolving Lender at any time shall be its Applicable Percentage of the aggregate LC Exposure at such time.</w:t>
      </w:r>
    </w:p>
    <w:p>
      <w:pPr>
        <w:spacing w:after="0" w:line="159"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Default</w:t>
      </w:r>
      <w:r>
        <w:rPr>
          <w:rFonts w:ascii="Times New Roman" w:cs="Times New Roman" w:eastAsia="Times New Roman" w:hAnsi="Times New Roman"/>
          <w:sz w:val="20"/>
          <w:szCs w:val="20"/>
          <w:color w:val="auto"/>
        </w:rPr>
        <w:t xml:space="preserve">” means (i) the refusal (which may be given pursuant to a public statement or in writing) which has not been retracted or failure of any Lender to (x) make available its portion of any incurrence of Revolving Loans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unless such Lender notifies the Administrative Agent and the Borrower in writing that such failure is the result of such Lender’s reasonable determination that one or more conditions precedent to funding (each of which conditions precedent, together with the applicable default, if any, shall be specifically identified in reasonable detail in such writing) has not been satisfied, (y) make available any required LC Advance in accordance with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or (z) fund its risk participation in any Swing Line Loan, in each case which refusal or failure is not cured within one Business Day after the date of such refusal or failure; (ii) the failure of any Lender to pay over to the Administrative Agent, any Issuing Bank or any other Lender any other amount required to be paid by it hereunder within one Business Day of the date when due, unless the subject of a good faith dispute; or (iii) a Lender has admitted in writing that it is insolvent or such Lender becomes subject to a Lender-Related Distress Event.</w:t>
      </w:r>
    </w:p>
    <w:p>
      <w:pPr>
        <w:spacing w:after="0" w:line="192" w:lineRule="exact"/>
        <w:rPr>
          <w:sz w:val="20"/>
          <w:szCs w:val="20"/>
          <w:color w:val="auto"/>
        </w:rPr>
      </w:pPr>
    </w:p>
    <w:p>
      <w:pPr>
        <w:jc w:val="both"/>
        <w:ind w:firstLine="771"/>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Distress Event</w:t>
      </w:r>
      <w:r>
        <w:rPr>
          <w:rFonts w:ascii="Times New Roman" w:cs="Times New Roman" w:eastAsia="Times New Roman" w:hAnsi="Times New Roman"/>
          <w:sz w:val="20"/>
          <w:szCs w:val="20"/>
          <w:color w:val="auto"/>
        </w:rPr>
        <w:t>” mean, with respect to any Lender or any Person that directly or indirectly controls such Lender (each, a “</w:t>
      </w:r>
      <w:r>
        <w:rPr>
          <w:rFonts w:ascii="Times New Roman" w:cs="Times New Roman" w:eastAsia="Times New Roman" w:hAnsi="Times New Roman"/>
          <w:sz w:val="20"/>
          <w:szCs w:val="20"/>
          <w:u w:val="single" w:color="auto"/>
          <w:color w:val="auto"/>
        </w:rPr>
        <w:t>Distressed Person</w:t>
      </w:r>
      <w:r>
        <w:rPr>
          <w:rFonts w:ascii="Times New Roman" w:cs="Times New Roman" w:eastAsia="Times New Roman" w:hAnsi="Times New Roman"/>
          <w:sz w:val="20"/>
          <w:szCs w:val="20"/>
          <w:color w:val="auto"/>
        </w:rPr>
        <w:t xml:space="preserve">”), as the case may be, (a) a voluntary or involuntary case is instituted with respect to such Distressed Person under the Bankruptcy Code of the United States or any other liquidation, conservatorship, bankruptcy, assignment for the benefit of creditors, moratorium, rearrangement, receivership, insolvency, reorganization, or other debtor relief laws of the United States or any other applicable jurisdiction from time to time in effect and affecting the rights of creditors generally, (b) a custodian, conservator, receiver or similar official is appointed for such Distressed Person or any substantial part of such Distressed Person’s assets, (c) such Distressed Person is subject to a forced liquidation, (d) such Distressed Person makes a general assignment for the benefit of creditors or is otherwise adjudicated as, or determined by any Governmental Authority having regulatory authority over such Distressed Person or its assets to be, insolvent or bankrupt or (e) such Distressed Person becomes subject of a Bail-in 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Lender-Related Distress Event shall not be deemed to have occurred solely by virtue of the ownership or acquisition of any Equity Interest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96"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and any other Person that shall have become a party hereto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or pursuant to an Incremental Facility Amendment, unless and until (a) any such Person ceases to be a party hereto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or (b) the Revolving Commitments, if any, held by such Person have been terminated and the Obligations (other than contingent Obligations with respect to which no claim has been made), if any, owing to such Person have been paid in full.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pursuant to this Agreement.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xml:space="preserve">” means an application and agreement for the issuance or amendment of a Letter of Credit in substantially the form attached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020"/>
          </w:cols>
          <w:pgMar w:left="440" w:top="265" w:right="439" w:bottom="1440" w:gutter="0" w:footer="0" w:header="0"/>
        </w:sectPr>
      </w:pPr>
    </w:p>
    <w:bookmarkStart w:id="45" w:name="page46"/>
    <w:bookmarkEnd w:id="45"/>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the lesser of (a) $5,000,000 and (b) the aggregate principal amount of the Revolving Commitments. The Letter of Credit Sublimit is part of, and not in addition to, the Revolving Facility.</w:t>
      </w:r>
    </w:p>
    <w:p>
      <w:pPr>
        <w:spacing w:after="0" w:line="159"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means, with respect to any Test Period, the ratio of (a) Total Indebtedness as of the last day of such Test Period </w:t>
      </w:r>
      <w:r>
        <w:rPr>
          <w:rFonts w:ascii="Times New Roman" w:cs="Times New Roman" w:eastAsia="Times New Roman" w:hAnsi="Times New Roman"/>
          <w:sz w:val="20"/>
          <w:szCs w:val="20"/>
          <w:i w:val="1"/>
          <w:iCs w:val="1"/>
          <w:color w:val="auto"/>
        </w:rPr>
        <w:t xml:space="preserve">minus </w:t>
      </w:r>
      <w:r>
        <w:rPr>
          <w:rFonts w:ascii="Times New Roman" w:cs="Times New Roman" w:eastAsia="Times New Roman" w:hAnsi="Times New Roman"/>
          <w:sz w:val="20"/>
          <w:szCs w:val="20"/>
          <w:color w:val="auto"/>
        </w:rPr>
        <w:t>cash and Cash Equivalents of the Borrower and the Restricted Subsidiaries, other than cash and Cash Equivalents not readily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available for use by the Borrower in its discretion (including customer-segregated cash and cash equivalents and cash and cash equivalents required by applicable law or regulatory requirement to be maintained as such by the Borrower or any Restricted Subsidiary) to (b) Consolidated EBITDA for such Test Period.</w:t>
      </w:r>
    </w:p>
    <w:p>
      <w:pPr>
        <w:spacing w:after="0" w:line="185"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80"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any acquisition, Investment or unconditional repayment or redemption of, or offer to purchase, Indebtedness, in each case permitted by this Agreement and the consummation of which is not conditioned on the availability of, or on obtaining, third party financing.</w:t>
      </w:r>
    </w:p>
    <w:p>
      <w:pPr>
        <w:spacing w:after="0" w:line="17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the Collateral Documents, each Intercreditor Agreement, each Issuer Document, any Incremental Facility Amendment and, solely for purposes 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the Fee Letter.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 and each Guarantor.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a Revolving Loan or a Swing Line Loan.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LTM Consolidated EBITDA</w:t>
      </w:r>
      <w:r>
        <w:rPr>
          <w:rFonts w:ascii="Times New Roman" w:cs="Times New Roman" w:eastAsia="Times New Roman" w:hAnsi="Times New Roman"/>
          <w:sz w:val="20"/>
          <w:szCs w:val="20"/>
          <w:color w:val="auto"/>
        </w:rPr>
        <w:t>” means Consolidated EBITDA for the most recently ended Test Period.</w:t>
      </w:r>
    </w:p>
    <w:p>
      <w:pPr>
        <w:spacing w:after="0" w:line="216"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Management Stockholders</w:t>
      </w:r>
      <w:r>
        <w:rPr>
          <w:rFonts w:ascii="Times New Roman" w:cs="Times New Roman" w:eastAsia="Times New Roman" w:hAnsi="Times New Roman"/>
          <w:sz w:val="20"/>
          <w:szCs w:val="20"/>
          <w:color w:val="auto"/>
        </w:rPr>
        <w:t>” means the future, present and former members of management, employees, directors, officers, managers, members or partners (and their Controlled Investment Affiliates and Immediate Family Members) of the Borrower or any of its Restricted Subsidiaries who are investors in the Borrower or any direct or indirect parent (including Public Company Parent) thereof, including any such future, present or former employees, directors, officers, managers, members or partners owning through an Equityholding Vehicle.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has the meaning assigned thereto in Regulation U of the Board.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has the meaning set forth in the definition of “Swap Contract.”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acquisition by the Borrower or a Restricted Subsidiary for which the total consideration exceeds $150,000,000.</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operations, properties, liabilities (actual or contingent) or financial condition of the Borrower and the Restricted Subsidiaries, taken as a whole, (b) the ability of the Loan Parties to fully and timely perform their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020"/>
          </w:cols>
          <w:pgMar w:left="440" w:top="265" w:right="439" w:bottom="1440" w:gutter="0" w:footer="0" w:header="0"/>
        </w:sectPr>
      </w:pPr>
    </w:p>
    <w:bookmarkStart w:id="46" w:name="page47"/>
    <w:bookmarkEnd w:id="46"/>
    <w:p>
      <w:pPr>
        <w:jc w:val="both"/>
        <w:ind w:left="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obligations under the Loan Documents, or (c) the rights of or remedies available to the Lenders under the Loan Documents, taken as a whole.</w:t>
      </w:r>
    </w:p>
    <w:p>
      <w:pPr>
        <w:spacing w:after="0" w:line="159" w:lineRule="exact"/>
        <w:rPr>
          <w:sz w:val="20"/>
          <w:szCs w:val="20"/>
          <w:color w:val="auto"/>
        </w:rPr>
      </w:pPr>
    </w:p>
    <w:p>
      <w:pPr>
        <w:jc w:val="both"/>
        <w:ind w:left="4"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any Obligations), or obligations in respect of one or more Swap Contracts, of any one or more of the Borrower and the Material Restricted Subsidiaries in an aggregate principal amount exceeding the Threshold Amount. For purposes of determining Material Indebtedness, the “principal amount” of the obligations of the Borrower or any Material Restricted Subsidiary in respect of any Swap Contract at any time shall be the maximum aggregate amount (giving effect to any netting agreements) that the Borrower or such Material Restricted Subsidiary would be required to pay if such Swap Contract were terminated at such time.</w:t>
      </w:r>
    </w:p>
    <w:p>
      <w:pPr>
        <w:spacing w:after="0" w:line="184" w:lineRule="exact"/>
        <w:rPr>
          <w:sz w:val="20"/>
          <w:szCs w:val="20"/>
          <w:color w:val="auto"/>
        </w:rPr>
      </w:pPr>
    </w:p>
    <w:p>
      <w:pPr>
        <w:jc w:val="both"/>
        <w:ind w:left="4" w:right="20" w:firstLine="771"/>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Restricted Subsidiary</w:t>
      </w:r>
      <w:r>
        <w:rPr>
          <w:rFonts w:ascii="Times New Roman" w:cs="Times New Roman" w:eastAsia="Times New Roman" w:hAnsi="Times New Roman"/>
          <w:sz w:val="19"/>
          <w:szCs w:val="19"/>
          <w:color w:val="auto"/>
        </w:rPr>
        <w:t xml:space="preserve">” means, at any date of determination, each of the Borrower’s Restricted Subsidiaries (i) which the Borrower has elected to treat as a Material Restricted Subsidiary or (ii)(a) whose total assets (on a consolidated basis with its Restricted Subsidiaries) at the last day of the relevant fiscal year (individually or in the aggregate) were greater than 10.0% (or, solely with respect to </w:t>
      </w:r>
      <w:r>
        <w:rPr>
          <w:rFonts w:ascii="Times New Roman" w:cs="Times New Roman" w:eastAsia="Times New Roman" w:hAnsi="Times New Roman"/>
          <w:sz w:val="19"/>
          <w:szCs w:val="19"/>
          <w:u w:val="single" w:color="auto"/>
          <w:color w:val="auto"/>
        </w:rPr>
        <w:t>Sections 7.01(h)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2.5%) of the consolidated total assets of the Borrower and the Restricted Subsidiaries at such date or</w:t>
      </w:r>
    </w:p>
    <w:p>
      <w:pPr>
        <w:spacing w:after="0" w:line="1" w:lineRule="exact"/>
        <w:rPr>
          <w:sz w:val="20"/>
          <w:szCs w:val="20"/>
          <w:color w:val="auto"/>
        </w:rPr>
      </w:pPr>
    </w:p>
    <w:p>
      <w:pPr>
        <w:jc w:val="both"/>
        <w:ind w:left="4" w:right="20" w:hanging="4"/>
        <w:spacing w:after="0" w:line="252" w:lineRule="auto"/>
        <w:tabs>
          <w:tab w:leader="none" w:pos="32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whose operating income for the most recently ended fiscal year for which financial statements have been delivered pursuant to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(individually or in the aggregate) are greater than 10.0% (or, solely with respect to </w:t>
      </w:r>
      <w:r>
        <w:rPr>
          <w:rFonts w:ascii="Times New Roman" w:cs="Times New Roman" w:eastAsia="Times New Roman" w:hAnsi="Times New Roman"/>
          <w:sz w:val="19"/>
          <w:szCs w:val="19"/>
          <w:u w:val="single" w:color="auto"/>
          <w:color w:val="auto"/>
        </w:rPr>
        <w:t>Sections 7.01(h)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2.5%) of the consolidated operating income of the Borrower and the Restricted Subsidiaries for such fiscal year;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at no time shall the total consolidated assets or operating income of all Restricted Subsidiaries that are not Material Restricted Subsidiaries in reliance on </w:t>
      </w:r>
      <w:r>
        <w:rPr>
          <w:rFonts w:ascii="Times New Roman" w:cs="Times New Roman" w:eastAsia="Times New Roman" w:hAnsi="Times New Roman"/>
          <w:sz w:val="19"/>
          <w:szCs w:val="19"/>
          <w:u w:val="single" w:color="auto"/>
          <w:color w:val="auto"/>
        </w:rPr>
        <w:t>clause</w:t>
      </w:r>
    </w:p>
    <w:p>
      <w:pPr>
        <w:jc w:val="both"/>
        <w:ind w:left="4" w:hanging="4"/>
        <w:spacing w:after="0" w:line="241" w:lineRule="auto"/>
        <w:tabs>
          <w:tab w:leader="none" w:pos="296" w:val="left"/>
        </w:tabs>
        <w:numPr>
          <w:ilvl w:val="0"/>
          <w:numId w:val="4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exceed, at such time, 10.0% of the consolidated total assets or 10.0% (or, solely with respect to </w:t>
      </w:r>
      <w:r>
        <w:rPr>
          <w:rFonts w:ascii="Times New Roman" w:cs="Times New Roman" w:eastAsia="Times New Roman" w:hAnsi="Times New Roman"/>
          <w:sz w:val="20"/>
          <w:szCs w:val="20"/>
          <w:u w:val="single" w:color="auto"/>
          <w:color w:val="auto"/>
        </w:rPr>
        <w:t>Sections 7.01(h)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2.5%) of the operating income, respectively, of the Borrower and its Restricted Subsidiaries and if either such aggregate threshold is exceeded then the Borrower shall designate a sufficient number of Restricted Subsidiaries which would not constitute Material Restricted Subsidiaries under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as Material Restricted Subsidiaries such that neither such aggregate threshold is exceeded.</w:t>
      </w:r>
    </w:p>
    <w:p>
      <w:pPr>
        <w:spacing w:after="0" w:line="184" w:lineRule="exact"/>
        <w:rPr>
          <w:sz w:val="20"/>
          <w:szCs w:val="20"/>
          <w:color w:val="auto"/>
        </w:rPr>
      </w:pPr>
    </w:p>
    <w:p>
      <w:pPr>
        <w:jc w:val="both"/>
        <w:ind w:left="4"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April 8, 2024;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each case, if such date is not a Business Day, the Maturity Date shall be the next preceding Business Day.</w:t>
      </w:r>
    </w:p>
    <w:p>
      <w:pPr>
        <w:spacing w:after="0" w:line="156"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16" w:lineRule="exact"/>
        <w:rPr>
          <w:sz w:val="20"/>
          <w:szCs w:val="20"/>
          <w:color w:val="auto"/>
        </w:rPr>
      </w:pPr>
    </w:p>
    <w:p>
      <w:pPr>
        <w:jc w:val="both"/>
        <w:ind w:left="4"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spacing w:after="0" w:line="17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Nonrenewal Notice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2.05(a)(viii)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4" w:right="20"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(x) advances to, and debts, liabilities, obligations, covenants and duties of, any Loan Party and its Restricted Subsidiaries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Restricted Subsidiary of any proceeding under any bankruptcy code or debtor relief laws naming such Person as the debtor in such proceeding, regardless of whether such interest and fees are allowed claims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024"/>
          </w:cols>
          <w:pgMar w:left="436" w:top="265" w:right="439" w:bottom="1440" w:gutter="0" w:footer="0" w:header="0"/>
        </w:sectPr>
      </w:pPr>
    </w:p>
    <w:bookmarkStart w:id="47" w:name="page48"/>
    <w:bookmarkEnd w:id="47"/>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such proceeding and (y) obligations of the Borrower or any Restricted Subsidiary arising under any Secured Hedge Agreement or any Treasury Services Agreement. Without limiting the generality of the foregoing, the Obligations of the Loan Parties under the Loan Documents (and of their Restricted Subsidiaries to the extent they have obligations under the Loan Documents) include (a) the obligation (including guarantee obligations) to pay principal, interest, Letter of Credit fees, reimbursement obligations, charges, expenses, fees, attorney costs, indemnities and other amounts payable by any Loan Party under any Loan Document and (b) the obligation of any Loan Party to reimburse any amount in respect of any of the foregoing that any Lender, in its sole discretion, may elect to pay or advance on behalf of such Loan Party. Notwithstanding the foregoing, the obligations of the Borrower or any Restricted Subsidiary under any Secured Hedge Agreement or any Treasury Services Agreement shall be secured and guaranteed pursuant to the Collateral Documents and the Guaranty only to the extent that, and for so long as, the other Obligations are so secured and guaranteed. Notwithstanding the foregoing, Obligations of any Guarantor shall in no event include any Excluded Swap Obligations of such Guarantor.</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with respect to any Person, the charter, articles or certificate of organization or incorporation and bylaws or other organizational or governing documents of such Person.</w:t>
      </w:r>
    </w:p>
    <w:p>
      <w:pPr>
        <w:spacing w:after="0" w:line="159"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recording, stamp, documentary, excise, property or similar Taxes arising from any payment made under any Loan Document or from the execution, delivery, performance, enforcement or registration of, from the receipt or perfection of a security interest under, or otherwise with respect to, any Loan Document, excluding any such Tax imposed as a result of an assignment (other than an assignment made at the request of the Borrower pursuant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by a Lender (an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w:t>
      </w:r>
      <w:r>
        <w:rPr>
          <w:rFonts w:ascii="Times New Roman" w:cs="Times New Roman" w:eastAsia="Times New Roman" w:hAnsi="Times New Roman"/>
          <w:sz w:val="20"/>
          <w:szCs w:val="20"/>
          <w:color w:val="auto"/>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6" w:lineRule="exact"/>
        <w:rPr>
          <w:sz w:val="20"/>
          <w:szCs w:val="20"/>
          <w:color w:val="auto"/>
        </w:rPr>
      </w:pPr>
    </w:p>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spacing w:after="0" w:line="184"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borrowings by U.S.-managed banking offices of depository institutions, as such composite rate shall be determined by the Federal Reserve Bank of New York as set forth on its public website from time to time, and published on the next succeeding Business Day by the Federal Reserve Bank of New York as an overnight bank funding rate.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020"/>
          </w:cols>
          <w:pgMar w:left="440" w:top="265" w:right="439" w:bottom="1440" w:gutter="0" w:footer="0" w:header="0"/>
        </w:sectPr>
      </w:pPr>
    </w:p>
    <w:bookmarkStart w:id="48" w:name="page49"/>
    <w:bookmarkEnd w:id="48"/>
    <w:p>
      <w:pPr>
        <w:jc w:val="both"/>
        <w:ind w:firstLine="771"/>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the Administrative Agent in the applicable offshore interbank market for such currency to major banks in such interbank market; provided, that the Overnight Rate shall not be less than 0.00%.</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Communities that adopts or has adopted the Euro as its lawful currency in accordance with legislation of the European Community relating to Economic and Monetary Union.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xml:space="preserve">” means a certificate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 or any other form reasonably approved by the Collateral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“Periodic Term SOFR Determination Day” has the meaning specified in the definition of “Term SOFR”.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right="20" w:firstLine="724"/>
        <w:spacing w:after="0" w:line="254" w:lineRule="auto"/>
        <w:tabs>
          <w:tab w:leader="none" w:pos="175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imposed by law for taxes, assessments or other governmental charges that are not yet overdue for more than 60 days or are being contested in good faith by appropriate proceedings and for which the applicable person has set aside on its books adequate reserves with respect thereto in accordance with GAAP;</w:t>
      </w:r>
    </w:p>
    <w:p>
      <w:pPr>
        <w:spacing w:after="0" w:line="174" w:lineRule="exact"/>
        <w:rPr>
          <w:rFonts w:ascii="Times New Roman" w:cs="Times New Roman" w:eastAsia="Times New Roman" w:hAnsi="Times New Roman"/>
          <w:sz w:val="20"/>
          <w:szCs w:val="20"/>
          <w:color w:val="auto"/>
        </w:rPr>
      </w:pPr>
    </w:p>
    <w:p>
      <w:pPr>
        <w:jc w:val="both"/>
        <w:ind w:left="760" w:firstLine="724"/>
        <w:spacing w:after="0" w:line="254" w:lineRule="auto"/>
        <w:tabs>
          <w:tab w:leader="none" w:pos="1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spacing w:after="0" w:line="174" w:lineRule="exact"/>
        <w:rPr>
          <w:rFonts w:ascii="Times New Roman" w:cs="Times New Roman" w:eastAsia="Times New Roman" w:hAnsi="Times New Roman"/>
          <w:sz w:val="20"/>
          <w:szCs w:val="20"/>
          <w:color w:val="auto"/>
        </w:rPr>
      </w:pPr>
    </w:p>
    <w:p>
      <w:pPr>
        <w:jc w:val="both"/>
        <w:ind w:left="760" w:right="20" w:firstLine="724"/>
        <w:spacing w:after="0" w:line="249" w:lineRule="auto"/>
        <w:tabs>
          <w:tab w:leader="none" w:pos="176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17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1020"/>
          </w:cols>
          <w:pgMar w:left="440" w:top="265" w:right="439" w:bottom="1440" w:gutter="0" w:footer="0" w:header="0"/>
        </w:sectPr>
      </w:pPr>
    </w:p>
    <w:bookmarkStart w:id="49" w:name="page50"/>
    <w:bookmarkEnd w:id="49"/>
    <w:p>
      <w:pPr>
        <w:ind w:left="760" w:hanging="276"/>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3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Restricted Subsidiary;</w:t>
      </w:r>
    </w:p>
    <w:p>
      <w:pPr>
        <w:spacing w:after="0" w:line="174" w:lineRule="exact"/>
        <w:rPr>
          <w:rFonts w:ascii="Times New Roman" w:cs="Times New Roman" w:eastAsia="Times New Roman" w:hAnsi="Times New Roman"/>
          <w:sz w:val="20"/>
          <w:szCs w:val="20"/>
          <w:color w:val="auto"/>
        </w:rPr>
      </w:pPr>
    </w:p>
    <w:p>
      <w:pPr>
        <w:ind w:left="760" w:hanging="276"/>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deemed to exist in connection with Permitted Investments in repurchase agreements;</w:t>
      </w:r>
    </w:p>
    <w:p>
      <w:pPr>
        <w:spacing w:after="0" w:line="215" w:lineRule="exact"/>
        <w:rPr>
          <w:rFonts w:ascii="Times New Roman" w:cs="Times New Roman" w:eastAsia="Times New Roman" w:hAnsi="Times New Roman"/>
          <w:sz w:val="20"/>
          <w:szCs w:val="20"/>
          <w:color w:val="auto"/>
        </w:rPr>
      </w:pPr>
    </w:p>
    <w:p>
      <w:pPr>
        <w:jc w:val="both"/>
        <w:ind w:left="-240" w:firstLine="724"/>
        <w:spacing w:after="0" w:line="249" w:lineRule="auto"/>
        <w:tabs>
          <w:tab w:leader="none" w:pos="76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in connection with ordinary course non-speculative hedging arrangements and bankers’ Liens granted in the ordinary course of business relating to the operation of bank accounts maintained by the Borrower or its Restricted Subsidiaries or as part of letter of credit transactions and Liens granted in customary escrow arrangements on sales and acquisitions not prohibited by this Agreement;</w:t>
      </w:r>
    </w:p>
    <w:p>
      <w:pPr>
        <w:spacing w:after="0" w:line="179"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25"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netting or setoff arrangement entered into by the Borrower or any of its Restricted Subsidiaries in the ordinary course of its banking arrangements or in connection with the cash pooling activities of the Borrower and its Restricted Subsidiaries entered into in the ordinary course of business;</w:t>
      </w:r>
    </w:p>
    <w:p>
      <w:pPr>
        <w:spacing w:after="0" w:line="174" w:lineRule="exact"/>
        <w:rPr>
          <w:rFonts w:ascii="Times New Roman" w:cs="Times New Roman" w:eastAsia="Times New Roman" w:hAnsi="Times New Roman"/>
          <w:sz w:val="20"/>
          <w:szCs w:val="20"/>
          <w:color w:val="auto"/>
        </w:rPr>
      </w:pPr>
    </w:p>
    <w:p>
      <w:pPr>
        <w:ind w:left="-240" w:firstLine="724"/>
        <w:spacing w:after="0" w:line="269" w:lineRule="auto"/>
        <w:tabs>
          <w:tab w:leader="none" w:pos="7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Liens over goods, inventory or documents of title where the shipment or storage price is financed by a documentary credit;</w:t>
      </w:r>
    </w:p>
    <w:p>
      <w:pPr>
        <w:spacing w:after="0" w:line="159" w:lineRule="exact"/>
        <w:rPr>
          <w:rFonts w:ascii="Times New Roman" w:cs="Times New Roman" w:eastAsia="Times New Roman" w:hAnsi="Times New Roman"/>
          <w:sz w:val="20"/>
          <w:szCs w:val="20"/>
          <w:color w:val="auto"/>
        </w:rPr>
      </w:pPr>
    </w:p>
    <w:p>
      <w:pPr>
        <w:ind w:left="-240" w:firstLine="724"/>
        <w:spacing w:after="0" w:line="269" w:lineRule="auto"/>
        <w:tabs>
          <w:tab w:leader="none" w:pos="76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left="-240" w:firstLine="724"/>
        <w:spacing w:after="0" w:line="269" w:lineRule="auto"/>
        <w:tabs>
          <w:tab w:leader="none" w:pos="73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constituting contractual rights of setoff under agreements with customers,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ind w:left="820" w:hanging="336"/>
        <w:spacing w:after="0"/>
        <w:tabs>
          <w:tab w:leader="none" w:pos="82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of UCC financing statements solely as a precautionary measure, and</w:t>
      </w:r>
    </w:p>
    <w:p>
      <w:pPr>
        <w:spacing w:after="0" w:line="215"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6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subleases or sublicenses granted to others in the ordinary course of business or consistent with past practice which do not interfere in any material respect with the business of the Borrower and the Restricted Subsidiaries, taken as a whole and (ii) leases, licenses, subleases or sublicenses constituting a disposition permitted hereunder;</w:t>
      </w:r>
    </w:p>
    <w:p>
      <w:pPr>
        <w:spacing w:after="0" w:line="66" w:lineRule="exact"/>
        <w:rPr>
          <w:rFonts w:ascii="Times New Roman" w:cs="Times New Roman" w:eastAsia="Times New Roman" w:hAnsi="Times New Roman"/>
          <w:sz w:val="20"/>
          <w:szCs w:val="20"/>
          <w:color w:val="auto"/>
        </w:rPr>
      </w:pPr>
    </w:p>
    <w:p>
      <w:pPr>
        <w:jc w:val="both"/>
        <w:ind w:left="-240" w:firstLine="724"/>
        <w:spacing w:after="0" w:line="245" w:lineRule="auto"/>
        <w:tabs>
          <w:tab w:leader="none" w:pos="78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or Cash Equivalents in favor of (x) the seller of any property to be acquired in an Investment permitted pursuant to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to be applied against the purchase price for such Investment, including Liens on cash or Cash Equivalents to secure letters of credit issued to backstop commitments or (y) the buyer of any property to be disposed to secure obligations in respect of indemnification, termination fee or similar seller obligations and (ii) consisting of an agreement to dispose of any property in a disposition permitted hereunder, in each case, solely to the extent such Investment or disposition, as the case may be, would have been permitted on the date of the creation of such Lien;</w:t>
      </w:r>
    </w:p>
    <w:p>
      <w:pPr>
        <w:spacing w:after="0" w:line="76"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6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4-210 of the Uniform Commercial Code on items in the course of collection, (ii) attaching to commodity trading accounts or other commodities brokerage accounts incurred in the ordinary course of business</w:t>
      </w:r>
    </w:p>
    <w:p>
      <w:pPr>
        <w:spacing w:after="0" w:line="1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000"/>
          </w:cols>
          <w:pgMar w:left="1440" w:top="265" w:right="459" w:bottom="1440" w:gutter="0" w:footer="0" w:header="0"/>
        </w:sectPr>
      </w:pPr>
    </w:p>
    <w:bookmarkStart w:id="50" w:name="page51"/>
    <w:bookmarkEnd w:id="50"/>
    <w:p>
      <w:pPr>
        <w:jc w:val="both"/>
        <w:ind w:left="764"/>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w:t>
      </w:r>
    </w:p>
    <w:p>
      <w:pPr>
        <w:spacing w:after="0" w:line="174" w:lineRule="exact"/>
        <w:rPr>
          <w:sz w:val="20"/>
          <w:szCs w:val="20"/>
          <w:color w:val="auto"/>
        </w:rPr>
      </w:pPr>
    </w:p>
    <w:p>
      <w:pPr>
        <w:jc w:val="both"/>
        <w:ind w:left="764" w:firstLine="724"/>
        <w:spacing w:after="0" w:line="254" w:lineRule="auto"/>
        <w:tabs>
          <w:tab w:leader="none" w:pos="177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of goods entered into by the Borrower or any of the Restricted Subsidiaries in the ordinary course of business or consistent with past practice permitted by this Agreement;</w:t>
      </w:r>
    </w:p>
    <w:p>
      <w:pPr>
        <w:spacing w:after="0" w:line="174" w:lineRule="exact"/>
        <w:rPr>
          <w:rFonts w:ascii="Times New Roman" w:cs="Times New Roman" w:eastAsia="Times New Roman" w:hAnsi="Times New Roman"/>
          <w:sz w:val="20"/>
          <w:szCs w:val="20"/>
          <w:color w:val="auto"/>
        </w:rPr>
      </w:pPr>
    </w:p>
    <w:p>
      <w:pPr>
        <w:jc w:val="both"/>
        <w:ind w:left="764" w:right="20" w:firstLine="724"/>
        <w:spacing w:after="0" w:line="254" w:lineRule="auto"/>
        <w:tabs>
          <w:tab w:leader="none" w:pos="178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commodity trading accounts or other brokerage accounts incurred in the ordinary course of business or consistent with past practice and not for speculative purposes;</w:t>
      </w:r>
    </w:p>
    <w:p>
      <w:pPr>
        <w:spacing w:after="0" w:line="174" w:lineRule="exact"/>
        <w:rPr>
          <w:rFonts w:ascii="Times New Roman" w:cs="Times New Roman" w:eastAsia="Times New Roman" w:hAnsi="Times New Roman"/>
          <w:sz w:val="20"/>
          <w:szCs w:val="20"/>
          <w:color w:val="auto"/>
        </w:rPr>
      </w:pPr>
    </w:p>
    <w:p>
      <w:pPr>
        <w:jc w:val="both"/>
        <w:ind w:left="764" w:firstLine="724"/>
        <w:spacing w:after="0" w:line="246" w:lineRule="auto"/>
        <w:tabs>
          <w:tab w:leader="none" w:pos="17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or rights of pledge (i) relating to the establishment of depository relations with banks not given in connection with the issuance of Indebtedness, (ii) relating to pooled deposit or sweep accounts of the Borrower or any of the Restricted Subsidiaries to permit satisfaction of overdraft or similar obligations incurred in the ordinary course of business of the Borrower or any of the Restricted Subsidiaries or (iii) relating to purchase orders and other agreements entered into with customers the Borrower or any of the Restricted Subsidiaries in the ordinary course of business; and</w:t>
      </w:r>
    </w:p>
    <w:p>
      <w:pPr>
        <w:spacing w:after="0" w:line="184" w:lineRule="exact"/>
        <w:rPr>
          <w:rFonts w:ascii="Times New Roman" w:cs="Times New Roman" w:eastAsia="Times New Roman" w:hAnsi="Times New Roman"/>
          <w:sz w:val="20"/>
          <w:szCs w:val="20"/>
          <w:color w:val="auto"/>
        </w:rPr>
      </w:pPr>
    </w:p>
    <w:p>
      <w:pPr>
        <w:ind w:left="764" w:firstLine="724"/>
        <w:spacing w:after="0" w:line="269" w:lineRule="auto"/>
        <w:tabs>
          <w:tab w:leader="none" w:pos="174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the Borrower or any of the Restricted Subsidiaries in connection with any letter of intent or purchase agreement permitted hereunder.</w:t>
      </w:r>
    </w:p>
    <w:p>
      <w:pPr>
        <w:spacing w:after="0" w:line="159" w:lineRule="exact"/>
        <w:rPr>
          <w:sz w:val="20"/>
          <w:szCs w:val="20"/>
          <w:color w:val="auto"/>
        </w:rPr>
      </w:pPr>
    </w:p>
    <w:p>
      <w:pPr>
        <w:jc w:val="both"/>
        <w:ind w:left="4" w:right="20" w:firstLine="771"/>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Holders</w:t>
      </w:r>
      <w:r>
        <w:rPr>
          <w:rFonts w:ascii="Times New Roman" w:cs="Times New Roman" w:eastAsia="Times New Roman" w:hAnsi="Times New Roman"/>
          <w:sz w:val="19"/>
          <w:szCs w:val="19"/>
          <w:color w:val="auto"/>
        </w:rPr>
        <w:t xml:space="preserve">” means each of (a) the Investors, (b) the Management Stockholders (including any Management Stockholders holding Equity Interests through an Equityholding Vehicle), (c) any Person who is acting solely as an underwriter in connection with a public or private offering of Equity Interests of the Borrower or any of its direct or indirect parent companies (including Public Company Parent), acting in such capacity, (d) any group (within the meaning of Rules 13d-3 and 13d-5 under the Exchange Act as in effect on the Closing Date) of which any of the foregoing or Permitted Plan are members and any member of such group;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case of such group and without giving effect to the existence of such group or any other group, Persons referred to in </w:t>
      </w:r>
      <w:r>
        <w:rPr>
          <w:rFonts w:ascii="Times New Roman" w:cs="Times New Roman" w:eastAsia="Times New Roman" w:hAnsi="Times New Roman"/>
          <w:sz w:val="19"/>
          <w:szCs w:val="19"/>
          <w:u w:val="single" w:color="auto"/>
          <w:color w:val="auto"/>
        </w:rPr>
        <w:t>clauses</w:t>
      </w:r>
    </w:p>
    <w:p>
      <w:pPr>
        <w:spacing w:after="0" w:line="1" w:lineRule="exact"/>
        <w:rPr>
          <w:sz w:val="20"/>
          <w:szCs w:val="20"/>
          <w:color w:val="auto"/>
        </w:rPr>
      </w:pPr>
    </w:p>
    <w:p>
      <w:pPr>
        <w:jc w:val="both"/>
        <w:ind w:left="4" w:hanging="4"/>
        <w:spacing w:after="0" w:line="241" w:lineRule="auto"/>
        <w:tabs>
          <w:tab w:leader="none" w:pos="280" w:val="left"/>
        </w:tabs>
        <w:numPr>
          <w:ilvl w:val="0"/>
          <w:numId w:val="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collectively, have beneficial ownership of more than 50% of the total voting power of the issued and outstanding Equity Interests of the Borrower or any of its direct or indirect parent companies (including Public Company Parent) held by such group, (e) any Permitted Plan and (f) any “person” or “group” who, on the date of the consummation of the IPO, is the beneficial owner of securities of the corporation representing more than fifty percent (50%) of the combined voting power of the corporation’s then outstanding voting securities).</w:t>
      </w:r>
    </w:p>
    <w:p>
      <w:pPr>
        <w:spacing w:after="0" w:line="187" w:lineRule="exact"/>
        <w:rPr>
          <w:sz w:val="20"/>
          <w:szCs w:val="20"/>
          <w:color w:val="auto"/>
        </w:rPr>
      </w:pPr>
    </w:p>
    <w:p>
      <w:pPr>
        <w:jc w:val="both"/>
        <w:ind w:left="4" w:right="20" w:firstLine="771"/>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Activities</w:t>
      </w:r>
      <w:r>
        <w:rPr>
          <w:rFonts w:ascii="Times New Roman" w:cs="Times New Roman" w:eastAsia="Times New Roman" w:hAnsi="Times New Roman"/>
          <w:sz w:val="20"/>
          <w:szCs w:val="20"/>
          <w:color w:val="auto"/>
        </w:rPr>
        <w:t>” means any transactions (A) between or among the Borrower and its Restricted Subsidiaries that are entered into in the ordinary course of business of the Borrower and its Restricted Subsidiaries and, in the good faith judgment of the Borrower are necessary or advisable in connection with the ownership or operation of the business of the Borrower and its Restricted Subsidiaries, including, but not limited to, (i) payroll, cash management, purchasing, insurance and hedging arrangements,</w:t>
      </w:r>
    </w:p>
    <w:p>
      <w:pPr>
        <w:spacing w:after="0" w:line="1" w:lineRule="exact"/>
        <w:rPr>
          <w:sz w:val="20"/>
          <w:szCs w:val="20"/>
          <w:color w:val="auto"/>
        </w:rPr>
      </w:pPr>
    </w:p>
    <w:p>
      <w:pPr>
        <w:ind w:left="4" w:right="20" w:hanging="4"/>
        <w:spacing w:after="0" w:line="246" w:lineRule="auto"/>
        <w:tabs>
          <w:tab w:leader="none" w:pos="31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technology and licensing arrangements and (iii) customer loyalty and rewards programs or (B) between or among the Borrower, its Restricted Subsidiaries and any captive insurance subsidiaries.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1024"/>
          </w:cols>
          <w:pgMar w:left="436" w:top="265" w:right="439" w:bottom="1440" w:gutter="0" w:footer="0" w:header="0"/>
        </w:sectPr>
      </w:pPr>
    </w:p>
    <w:bookmarkStart w:id="51" w:name="page52"/>
    <w:bookmarkEnd w:id="51"/>
    <w:p>
      <w:pPr>
        <w:jc w:val="both"/>
        <w:ind w:right="20" w:firstLine="771"/>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xml:space="preserve">” means investments that comply with the Borrower’s investment policy as disclosed to the Administrative Agent on or prior to the Closing Date, as such investment policy may be modified from time to time by the Borrower;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Borrower’s investment policy shall not be modified in any manner that would or would reasonably be expected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materially and adversely affect the interests or remedies of the Administrative Agent or the Lenders without the prior written consent of the Administrative Agent.</w:t>
      </w:r>
    </w:p>
    <w:p>
      <w:pPr>
        <w:spacing w:after="0" w:line="185"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Plan</w:t>
      </w:r>
      <w:r>
        <w:rPr>
          <w:rFonts w:ascii="Times New Roman" w:cs="Times New Roman" w:eastAsia="Times New Roman" w:hAnsi="Times New Roman"/>
          <w:sz w:val="20"/>
          <w:szCs w:val="20"/>
          <w:color w:val="auto"/>
        </w:rPr>
        <w:t>” means any employee benefits plan of the Borrower or any of its Affiliates and any Person acting in its capacity as trustee, agent or other fiduciary or administrator of any such plan.</w:t>
      </w:r>
    </w:p>
    <w:p>
      <w:pPr>
        <w:spacing w:after="0" w:line="159" w:lineRule="exact"/>
        <w:rPr>
          <w:sz w:val="20"/>
          <w:szCs w:val="20"/>
          <w:color w:val="auto"/>
        </w:rPr>
      </w:pPr>
    </w:p>
    <w:p>
      <w:pPr>
        <w:jc w:val="both"/>
        <w:ind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means Indebtedness of the Borrower or a Restricted Subsidiary incurred in exchange for, or the proceeds of which are used to redeem or refinance in whole or in part, any Indebtedness of the Borrower or any Restricted Subsidiary (the “</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174" w:lineRule="exact"/>
        <w:rPr>
          <w:sz w:val="20"/>
          <w:szCs w:val="20"/>
          <w:color w:val="auto"/>
        </w:rPr>
      </w:pPr>
    </w:p>
    <w:p>
      <w:pPr>
        <w:jc w:val="both"/>
        <w:ind w:left="760" w:firstLine="724"/>
        <w:spacing w:after="0" w:line="246" w:lineRule="auto"/>
        <w:tabs>
          <w:tab w:leader="none" w:pos="179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(and accreted value, in the case of Indebtedness issued at a discount) of the Permitted Refinancing Indebtedness does not exceed the principal amount (and accreted value, as the case may be) of the Refinanced Indebtedness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amount of accrued and unpaid interest on the Refinanced Indebtedness, any premium paid to the holders of the Refinanced Indebtedness and expenses incurred in connection with the incurrence of the Permitted Refinancing Indebtedness;</w:t>
      </w:r>
    </w:p>
    <w:p>
      <w:pPr>
        <w:spacing w:after="0" w:line="18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obligor of Refinancing Indebtedness does not include the Borrower or any Restricted Subsidiary that is not an obligor of the Refinanced Indebtedness;</w:t>
      </w:r>
    </w:p>
    <w:p>
      <w:pPr>
        <w:spacing w:after="0" w:line="159" w:lineRule="exact"/>
        <w:rPr>
          <w:rFonts w:ascii="Times New Roman" w:cs="Times New Roman" w:eastAsia="Times New Roman" w:hAnsi="Times New Roman"/>
          <w:sz w:val="20"/>
          <w:szCs w:val="20"/>
          <w:color w:val="auto"/>
        </w:rPr>
      </w:pPr>
    </w:p>
    <w:p>
      <w:pPr>
        <w:jc w:val="both"/>
        <w:ind w:left="760" w:firstLine="724"/>
        <w:spacing w:after="0" w:line="274" w:lineRule="auto"/>
        <w:tabs>
          <w:tab w:leader="none" w:pos="174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Refinancing Indebtedness has a final stated maturity no earlier and a weighted average life to maturity no shorter than the earlier of (i) the final stated maturity and weighted average life of the Refinanced Indebtedness being redeemed or refinanced or (ii) the Maturity Date and the period from the date of incurrence thereof to the Maturity Date, as applicable; and</w:t>
      </w:r>
    </w:p>
    <w:p>
      <w:pPr>
        <w:spacing w:after="0" w:line="156" w:lineRule="exact"/>
        <w:rPr>
          <w:rFonts w:ascii="Times New Roman" w:cs="Times New Roman" w:eastAsia="Times New Roman" w:hAnsi="Times New Roman"/>
          <w:sz w:val="19"/>
          <w:szCs w:val="19"/>
          <w:color w:val="auto"/>
        </w:rPr>
      </w:pPr>
    </w:p>
    <w:p>
      <w:pPr>
        <w:ind w:left="760" w:right="20" w:firstLine="724"/>
        <w:spacing w:after="0" w:line="269" w:lineRule="auto"/>
        <w:tabs>
          <w:tab w:leader="none" w:pos="176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 Refinanced Indebtedness is secured, such Refinancing Indebtedness is not secured by any property or assets other than such property or assets that secure the Refinanced Indebtedness.</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or entity, including any corporation, limited liability company, trust, joint venture, association, company, partnership or Governmental Authority or other entity.</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Deb</w:t>
      </w:r>
      <w:r>
        <w:rPr>
          <w:rFonts w:ascii="Times New Roman" w:cs="Times New Roman" w:eastAsia="Times New Roman" w:hAnsi="Times New Roman"/>
          <w:sz w:val="20"/>
          <w:szCs w:val="20"/>
          <w:color w:val="auto"/>
        </w:rPr>
        <w:t>t” has the meaning set forth in the Security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Pledged Equity</w:t>
      </w:r>
      <w:r>
        <w:rPr>
          <w:rFonts w:ascii="Times New Roman" w:cs="Times New Roman" w:eastAsia="Times New Roman" w:hAnsi="Times New Roman"/>
          <w:sz w:val="20"/>
          <w:szCs w:val="20"/>
          <w:color w:val="auto"/>
        </w:rPr>
        <w:t>” has the meaning set forth in the Security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1020"/>
          </w:cols>
          <w:pgMar w:left="440" w:top="265" w:right="439" w:bottom="1440" w:gutter="0" w:footer="0" w:header="0"/>
        </w:sectPr>
      </w:pPr>
    </w:p>
    <w:bookmarkStart w:id="52" w:name="page53"/>
    <w:bookmarkEnd w:id="52"/>
    <w:p>
      <w:pPr>
        <w:ind w:left="76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Pledged Intercompany Debt</w:t>
      </w:r>
      <w:r>
        <w:rPr>
          <w:rFonts w:ascii="Times New Roman" w:cs="Times New Roman" w:eastAsia="Times New Roman" w:hAnsi="Times New Roman"/>
          <w:sz w:val="20"/>
          <w:szCs w:val="20"/>
          <w:color w:val="auto"/>
        </w:rPr>
        <w:t>” has the meaning given to such term in the definition of “Collateral and Guarantee Requirement.”</w:t>
      </w:r>
    </w:p>
    <w:p>
      <w:pPr>
        <w:spacing w:after="0" w:line="216" w:lineRule="exact"/>
        <w:rPr>
          <w:sz w:val="20"/>
          <w:szCs w:val="20"/>
          <w:color w:val="auto"/>
        </w:rPr>
      </w:pPr>
    </w:p>
    <w:p>
      <w:pPr>
        <w:jc w:val="both"/>
        <w:ind w:left="4"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Post-Acquisition Period</w:t>
      </w:r>
      <w:r>
        <w:rPr>
          <w:rFonts w:ascii="Times New Roman" w:cs="Times New Roman" w:eastAsia="Times New Roman" w:hAnsi="Times New Roman"/>
          <w:sz w:val="20"/>
          <w:szCs w:val="20"/>
          <w:color w:val="auto"/>
        </w:rPr>
        <w:t>” means, with respect to any Permitted Acquisition or the conversion of any Unrestricted Subsidiary into a Restricted Subsidiary, the period beginning on the date such Permitted Acquisition or conversion is consummated and ending on the 24-month anniversary of the date on which such Permitted Acquisition or conversion is consummated.</w:t>
      </w:r>
    </w:p>
    <w:p>
      <w:pPr>
        <w:spacing w:after="0" w:line="174" w:lineRule="exact"/>
        <w:rPr>
          <w:sz w:val="20"/>
          <w:szCs w:val="20"/>
          <w:color w:val="auto"/>
        </w:rPr>
      </w:pPr>
    </w:p>
    <w:p>
      <w:pPr>
        <w:jc w:val="both"/>
        <w:ind w:left="4" w:firstLine="771"/>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Adjustment</w:t>
      </w:r>
      <w:r>
        <w:rPr>
          <w:rFonts w:ascii="Times New Roman" w:cs="Times New Roman" w:eastAsia="Times New Roman" w:hAnsi="Times New Roman"/>
          <w:sz w:val="20"/>
          <w:szCs w:val="20"/>
          <w:color w:val="auto"/>
        </w:rPr>
        <w:t xml:space="preserve">” means, for any four-quarter period that includes all or any part of a fiscal quarter included in any Post-Acquisition Period, with respect to the Acquired EBITDA of the applicable Acquired Entity or Business or Converted Restricted Subsidiary or the Consolidated EBITDA of the Borrower, the pro forma increase or decrease in such Acquired EBITDA or such Consolidated EBITDA, as the case may be, projected by the Borrower in good faith as a result of (a) actions taken during such Post-Acquisition Period for the purposes of realizing reasonably identifiable and factually supportable “run rate” cost savings, operating expense reductions and synergies or (b) any additional costs incurred during such Post-Acquisition Period, in each case in connection with the combination of the operations of such Acquired Entity or Business or Converted Restricted Subsidiary with the operations of the Borrower and the Restricted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at the election of the Borrower, such Pro Forma Adjustment shall not be required to be determined for any Acquired Entity or Business or Converted Restricted Subsidiary to the extent the aggregate consideration paid in connection with such acquisition was less than $100,000,000, and (ii) so long as such actions are taken during such Post-Acquisition Period or such costs are incurred during such Post-Acquisition Period, as applicable, for purposes of projecting such pro forma increase or decrease to such Acquired EBITDA or such Consolidated EBITDA, as the case may be, it may be assumed that such cost savings will be realizable during the entirety of such four-quarter period, or such additional costs will be accrued or incurred during the entirety of such four-quarter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such pro forma increase or decrease to such Acquired EBITDA or such Consolidated EBITDA, as the case may be, shall be without duplication for cost savings or additional costs already included in such Acquired EBITDA or such Consolidated EBITDA, as the case may be, for such four-quarter period.</w:t>
      </w:r>
    </w:p>
    <w:p>
      <w:pPr>
        <w:spacing w:after="0" w:line="193" w:lineRule="exact"/>
        <w:rPr>
          <w:sz w:val="20"/>
          <w:szCs w:val="20"/>
          <w:color w:val="auto"/>
        </w:rPr>
      </w:pPr>
    </w:p>
    <w:p>
      <w:pPr>
        <w:jc w:val="both"/>
        <w:ind w:left="4" w:firstLine="771"/>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Pro Forma Compliance</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 Forma Effect</w:t>
      </w:r>
      <w:r>
        <w:rPr>
          <w:rFonts w:ascii="Times New Roman" w:cs="Times New Roman" w:eastAsia="Times New Roman" w:hAnsi="Times New Roman"/>
          <w:sz w:val="19"/>
          <w:szCs w:val="19"/>
          <w:color w:val="auto"/>
        </w:rPr>
        <w:t xml:space="preserve">” mean, with respect to compliance with any test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(a) income statement items (whether positive or negative) attributable to the property or Person subject to such Specified Transaction, in the case of a Permitted Acquisition or Investment described in the definition of “Specified Transaction,” shall be included, (b) any retirement of Indebtedness, and (c) any Indebtedness incurred or assumed by the Borrower or any of the Restricted Subsidiaries in connection therewith and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without limiting the application of the Pro Forma Adjustment pursuant to </w:t>
      </w:r>
      <w:r>
        <w:rPr>
          <w:rFonts w:ascii="Times New Roman" w:cs="Times New Roman" w:eastAsia="Times New Roman" w:hAnsi="Times New Roman"/>
          <w:sz w:val="19"/>
          <w:szCs w:val="19"/>
          <w:u w:val="single" w:color="auto"/>
          <w:color w:val="auto"/>
        </w:rPr>
        <w:t>clause</w:t>
      </w:r>
    </w:p>
    <w:p>
      <w:pPr>
        <w:spacing w:after="0" w:line="7" w:lineRule="exact"/>
        <w:rPr>
          <w:sz w:val="20"/>
          <w:szCs w:val="20"/>
          <w:color w:val="auto"/>
        </w:rPr>
      </w:pPr>
    </w:p>
    <w:p>
      <w:pPr>
        <w:jc w:val="both"/>
        <w:ind w:left="4" w:hanging="4"/>
        <w:spacing w:after="0"/>
        <w:tabs>
          <w:tab w:leader="none" w:pos="340" w:val="left"/>
        </w:tabs>
        <w:numPr>
          <w:ilvl w:val="0"/>
          <w:numId w:val="5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the foregoing pro forma adjustments may be applied to any such test solely to the extent that such adjustments are consistent with the definition of Consolidated EBITDA and give effect to events (including operating expense reductions) that are (as determined by the Borrower in good faith) (i)(x) directly attributable to such transaction, (y) expected to have a continuing impact on the Borrower and the Restricted Subsidiaries and (z) factually supportable or (ii) otherwise consistent with the definition of Pro Forma Adjustment; (II) that when calculating the Leverage Ratio and the Interest Coverage Ratio for purposes of determining compliance (which shall, for the avoidance of doubt, be calculated on a Pro</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1024"/>
          </w:cols>
          <w:pgMar w:left="436" w:top="265" w:right="439" w:bottom="1440" w:gutter="0" w:footer="0" w:header="0"/>
        </w:sectPr>
      </w:pPr>
    </w:p>
    <w:bookmarkStart w:id="53" w:name="page54"/>
    <w:bookmarkEnd w:id="53"/>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Forma Basis) with the Financial Covenants, the events that occurred subsequent to the end of the applicable four-quarter period shall not be given pro forma effect and (III) in determining Pro Forma Compliance with the Financial Covenants in connection with the incurrence (including by assumption or guarantee) of any Indebtedness, (i) the incurrence or repayment of any Indebtedness in respect of the Revolving Facility or any other revolving facility immediately prior to or in connection therewith included in the Leverage Ratio or the Interest Coverage Ratio immediately prior to, or simultaneously with, the event for which the Pro Forma Compliance determination of such ratio or other test is being made and (ii) the incurrence under the Revolving Facility or under any other revolving facility used to finance working capital needs of the Borrower and its Restricted Subsidiaries (as reasonably determined by the Borrower), in each case, shall be disregarded;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with respect to any incurrence of Indebtedness permitted by the provisions of this Agreement in reliance on the pro forma calculation of the Leverage Ratio or the Interest Coverage Ratio, any Indebtedness being incurred (or expected to be incurred) substantially simultaneously or contemporaneously with the incurrence of any such Indebtedness or any applicable transaction or action in reliance on any “basket” set forth in this Agreement (including any “baskets” measured as a percentage of Consolidated EBITDA), other than any such Indebtedness under the Revolving Facility shall be disregarded.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Change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Company Parent</w:t>
      </w:r>
      <w:r>
        <w:rPr>
          <w:rFonts w:ascii="Times New Roman" w:cs="Times New Roman" w:eastAsia="Times New Roman" w:hAnsi="Times New Roman"/>
          <w:sz w:val="20"/>
          <w:szCs w:val="20"/>
          <w:color w:val="auto"/>
        </w:rPr>
        <w:t>” means Tradeweb Markets Inc., a Delaware corporation</w:t>
      </w:r>
    </w:p>
    <w:p>
      <w:pPr>
        <w:spacing w:after="0" w:line="216"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Guarantor that, at the time the relevant Guaranty (or grant of the relevant security interest, as applicable) becomes or would become effective with respect to such Swap Obligation, has total assets exceeding $10,000,000 or otherwise constitutes an “eligible contract participant” under the Commodity Exchange Act and which may cause another person to qualify as an “eligible contract participant” with respect to such Swap Obligation at such time by entering into an agreement pursuant to the Commodity Exchange Act.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Equity Interests of the Borrower other than Disqualified Equity Interests.</w:t>
      </w:r>
    </w:p>
    <w:p>
      <w:pPr>
        <w:spacing w:after="0" w:line="216"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Business Days prior to the commencement of such Interest Period (or such other day as is generally treated as the rate fixing day by market practice in such interbank market, as determined by the Administrative Agent (which as of the Closing Date, in the case of Sterling, is the first day of the relevant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Subsidiary</w:t>
      </w:r>
      <w:r>
        <w:rPr>
          <w:rFonts w:ascii="Times New Roman" w:cs="Times New Roman" w:eastAsia="Times New Roman" w:hAnsi="Times New Roman"/>
          <w:sz w:val="20"/>
          <w:szCs w:val="20"/>
          <w:color w:val="auto"/>
        </w:rPr>
        <w:t>” means (i) any Broker-Dealer Subsidiary, (ii) any Subsidiary regulated as an insurance company or clearinghouse and (iii) 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 (including DW SEF LLC and TW SEF LLC).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1020"/>
          </w:cols>
          <w:pgMar w:left="440" w:top="265" w:right="439" w:bottom="1440" w:gutter="0" w:footer="0" w:header="0"/>
        </w:sectPr>
      </w:pPr>
    </w:p>
    <w:bookmarkStart w:id="54" w:name="page55"/>
    <w:bookmarkEnd w:id="54"/>
    <w:p>
      <w:pPr>
        <w:ind w:left="7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Related Indemnified Person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employees, partners, agents, trustees and advisors of such Person and such Person’s Affiliates.</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74" w:lineRule="exact"/>
        <w:rPr>
          <w:sz w:val="20"/>
          <w:szCs w:val="20"/>
          <w:color w:val="auto"/>
        </w:rPr>
      </w:pPr>
    </w:p>
    <w:p>
      <w:pPr>
        <w:jc w:val="both"/>
        <w:ind w:firstLine="771"/>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Revolving Exposures (including risk participations in respect of Swing Line Loans) and, without duplication, unused Revolving Commitments, collectively, representing more than 50% of the aggregate Revolving Exposures and, without duplication, unused Revolving Commitments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unused Revolving Commitments and Revolving Exposure (including risk participations in respect of Swing Line Loans) held or deemed held by, any Defaulting Lender shall be excluded for purposes of making a determination of Required Lenders.</w:t>
      </w:r>
    </w:p>
    <w:p>
      <w:pPr>
        <w:spacing w:after="0" w:line="185"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spacing w:after="0" w:line="174"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 the chief executive officer, president, executive vice president, chief financial officer, treasurer or assistant treasurer or other similar officer or Person performing similar functions of the Borrower or other Loan Party,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or other Loan Party, (c) solely for purposes of notices given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or employee of the Borrower expressly designated as a “Responsible Officer” for purposes of the Loan Documents by any other Responsible Officer in a written notice to the Administrative Agent and (d) any other officer or employee of the Borrower or other Loan Party designated as a “Responsible Officer” for purposes of the Loan Documents in or pursuant to a written agreement between the Borrower or other Loan Party, as applicable, and the Administrative Agent in connection with the Loan Documents. Any document delivered hereunder that is signed by a Responsible Officer of the Borrower or other Loan Party shall be conclusively presumed to have been authorized by all necessary corporate, partnership and/or other action on the part of the Borrower or other Loan Party and such Responsible Officer shall be conclusively presumed to have acted on behalf of the Borrower or other Loan Party.</w:t>
      </w:r>
    </w:p>
    <w:p>
      <w:pPr>
        <w:spacing w:after="0" w:line="187"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 any dividend or other distribution (whether in cash, securities or other property) with respect to any Equity Interests in the Borrower or (b) any payment (whether in cash, securities or other property), including any sinking fund or similar deposit, on account of the purchase, redemption, retirement, acquisition, cancellation or termination of any Equity Interests in the Borrower, in each case, other than through the issuance of Qualified Equity Interests. For the avoidance of doubt, (i) payments with respect to Indebtedness convertible into Equity Interests shall not be deemed to be Restricted Payments and (ii) the issuance of any common stock of the Borrower as grants or awards of restricted stock units or performance stock units in accordance with stock option or stock ownership plans, employment agreements, incentive plans or other benefit plans approved by the Borrower’s Board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1020"/>
          </w:cols>
          <w:pgMar w:left="440" w:top="265" w:right="439" w:bottom="1440" w:gutter="0" w:footer="0" w:header="0"/>
        </w:sectPr>
      </w:pPr>
    </w:p>
    <w:bookmarkStart w:id="55" w:name="page56"/>
    <w:bookmarkEnd w:id="55"/>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Directors for management, directors, former directors, employees and former employees of the Borrower and the Restricted Subsidiaries do not constitute Restricted Payments.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Borrower other than an Unrestricted Subsidiary.</w:t>
      </w:r>
    </w:p>
    <w:p>
      <w:pPr>
        <w:spacing w:after="0" w:line="216"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(a) with respect to any Loan, each of the following: (i) each date of a Borrowing of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FF"/>
        </w:rPr>
        <w:t>or EURIBOR Rate Loan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denominated in an Alternative Currency, (ii) each date of a continuation of 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denominated in an Alternative Currency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2.03</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(iii)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-1015365</wp:posOffset>
            </wp:positionV>
            <wp:extent cx="1405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1242060</wp:posOffset>
            </wp:positionH>
            <wp:positionV relativeFrom="paragraph">
              <wp:posOffset>-1049655</wp:posOffset>
            </wp:positionV>
            <wp:extent cx="140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16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Availability Period</w:t>
      </w:r>
      <w:r>
        <w:rPr>
          <w:rFonts w:ascii="Times New Roman" w:cs="Times New Roman" w:eastAsia="Times New Roman" w:hAnsi="Times New Roman"/>
          <w:sz w:val="20"/>
          <w:szCs w:val="20"/>
          <w:color w:val="auto"/>
        </w:rPr>
        <w:t>” means the period from and including the Closing Date to but excluding the earlier of the Maturity Date and the date of termination of the Revolving Commitments.</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xml:space="preserve">” means a borrowing consisting of simultaneous Revolving Loans of the same Type, in the same currency, and, in the case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w:t>
      </w:r>
      <w:r>
        <w:rPr>
          <w:rFonts w:ascii="Times New Roman" w:cs="Times New Roman" w:eastAsia="Times New Roman" w:hAnsi="Times New Roman"/>
          <w:sz w:val="20"/>
          <w:szCs w:val="20"/>
          <w:color w:val="auto"/>
        </w:rPr>
        <w:t xml:space="preserve"> Rate Loans, having the same Interest Period.</w:t>
      </w:r>
    </w:p>
    <w:p>
      <w:pPr>
        <w:spacing w:after="0" w:line="159"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xml:space="preserve">” means, with respect to each Revolving Lender, the commitment, if any, of such Revolving Lender to make Revolving Loans and to acquire risk participations in Letters of Credit and Swing Line Loans hereunder, expressed as an amount representing the maximum possible aggregate amount of such Revolving Lender’s Revolving Exposure hereunder, as such commitment may be (a) reduced from time to time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(b) reduced or increased from time to time pursuant to assignments by or to such Revolving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or pursuant to any Incremental Facility Amendment. The initial amount of each Revolving Lender’s Revolving Commitment is set forth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to this Agreement, or in the Assignment and Assumption pursuant to which such Revolving Lender shall have assumed its Revolving Commitment, as the case may be. The initial aggregate amount of the Revolving Lenders’ Revolving Commitments is $500,000,000.</w:t>
      </w:r>
    </w:p>
    <w:p>
      <w:pPr>
        <w:spacing w:after="0" w:line="18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means, with respect to any Revolving Lender at any time, the sum of the Outstanding Amount of such Revolving Lender’s Revolving Loans, Swing Line Exposure and LC Exposure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Revolving Facility</w:t>
      </w:r>
      <w:r>
        <w:rPr>
          <w:rFonts w:ascii="Times New Roman" w:cs="Times New Roman" w:eastAsia="Times New Roman" w:hAnsi="Times New Roman"/>
          <w:sz w:val="19"/>
          <w:szCs w:val="19"/>
          <w:color w:val="auto"/>
        </w:rPr>
        <w:t>” means the Revolving Commitments and the extension of credit made hereunder by the Revolving Lenders.</w:t>
      </w:r>
    </w:p>
    <w:p>
      <w:pPr>
        <w:spacing w:after="0" w:line="227"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Lender with a Revolving Commitment or, if the Revolving Commitments have terminated or expired, a Lender with Revolving Exposure.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1020"/>
          </w:cols>
          <w:pgMar w:left="440" w:top="265" w:right="439" w:bottom="1440" w:gutter="0" w:footer="0" w:header="0"/>
        </w:sectPr>
      </w:pPr>
    </w:p>
    <w:bookmarkStart w:id="56" w:name="page57"/>
    <w:bookmarkEnd w:id="56"/>
    <w:p>
      <w:pPr>
        <w:ind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“RFR” means, for any Obligations, interest, fees, commissions or other amounts denominated in, or calculated with respect to, (a) Dollars, Adjusted Term SOFR and (b) Sterling, SONIA.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“RFR Borrowing” means, as to any Borrowing, the RFR Loans comprising such Borrowing.</w:t>
      </w:r>
    </w:p>
    <w:p>
      <w:pPr>
        <w:spacing w:after="0" w:line="216" w:lineRule="exact"/>
        <w:rPr>
          <w:sz w:val="20"/>
          <w:szCs w:val="20"/>
          <w:color w:val="auto"/>
        </w:rPr>
      </w:pPr>
    </w:p>
    <w:p>
      <w:pPr>
        <w:jc w:val="both"/>
        <w:ind w:firstLine="771"/>
        <w:spacing w:after="0" w:line="263" w:lineRule="auto"/>
        <w:rPr>
          <w:sz w:val="20"/>
          <w:szCs w:val="20"/>
          <w:color w:val="auto"/>
        </w:rPr>
      </w:pPr>
      <w:r>
        <w:rPr>
          <w:rFonts w:ascii="Times New Roman" w:cs="Times New Roman" w:eastAsia="Times New Roman" w:hAnsi="Times New Roman"/>
          <w:sz w:val="19"/>
          <w:szCs w:val="19"/>
          <w:u w:val="single" w:color="auto"/>
          <w:color w:val="0000FF"/>
        </w:rPr>
        <w:t>“RFR Business Day” 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and (b) Sterling, any day except for (i) a Saturday, (ii) a Sunday or (iii) a day on which banks are closed for general business in London; provided, that for purposes of notice requirements in Sections 2.03 such day is also a Business Day.</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“RFR Loan” means a Daily Simple RFR Loan or a Term SOFR Loan,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“RFR Rate Day” has the meaning specified in the definition of “Adjusted Daily Simple RFR”.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 business unit of Standard &amp; Poor’s Financial Services LLC, and any successor thereto.</w:t>
      </w:r>
    </w:p>
    <w:p>
      <w:pPr>
        <w:spacing w:after="0" w:line="216"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economic sanction administered or enforced by the United States federal government (including without limitation, OFAC), the United Nations Security Council, the European Union, or Her Majesty’s Treasury.</w:t>
      </w:r>
    </w:p>
    <w:p>
      <w:pPr>
        <w:spacing w:after="0" w:line="159"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means any Swap Contract that is entered into by and between the Borrower or any Restricted Subsidiary and any Approved Counterparty (unless otherwise designated in writing by the Borrower and the applicable Approved Counterparty to the Administrative Agent as unsecured, which notice may designate all Swap Contracts under a specified Master Agreement as unsecured).</w:t>
      </w:r>
    </w:p>
    <w:p>
      <w:pPr>
        <w:spacing w:after="0" w:line="180" w:lineRule="exact"/>
        <w:rPr>
          <w:sz w:val="20"/>
          <w:szCs w:val="20"/>
          <w:color w:val="auto"/>
        </w:rPr>
      </w:pPr>
    </w:p>
    <w:p>
      <w:pPr>
        <w:jc w:val="both"/>
        <w:ind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Collateral Agent, the Lenders, the Issuing Banks, the Swing Line Lender, any Approved Counterparty party to a Secured Hedge Agreement or Treasury Services Agreement and each co-agent or sub-agent appointed by the Administrative Agent or Collateral Agent from time to time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xml:space="preserve">” means the Security Agreement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dated as of the Closing Date, among the Borrower, the Guarantors and the Collateral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 Supplement</w:t>
      </w:r>
      <w:r>
        <w:rPr>
          <w:rFonts w:ascii="Times New Roman" w:cs="Times New Roman" w:eastAsia="Times New Roman" w:hAnsi="Times New Roman"/>
          <w:sz w:val="20"/>
          <w:szCs w:val="20"/>
          <w:color w:val="auto"/>
        </w:rPr>
        <w:t>” has the meaning set forth in the Security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1000"/>
          </w:cols>
          <w:pgMar w:left="440" w:top="265" w:right="459" w:bottom="1440" w:gutter="0" w:footer="0" w:header="0"/>
        </w:sectPr>
      </w:pPr>
    </w:p>
    <w:bookmarkStart w:id="57" w:name="page58"/>
    <w:bookmarkEnd w:id="57"/>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Senior Representative</w:t>
      </w:r>
      <w:r>
        <w:rPr>
          <w:rFonts w:ascii="Times New Roman" w:cs="Times New Roman" w:eastAsia="Times New Roman" w:hAnsi="Times New Roman"/>
          <w:sz w:val="20"/>
          <w:szCs w:val="20"/>
          <w:color w:val="auto"/>
        </w:rPr>
        <w:t>” means, with respect to any Indebtedness that is permitted to be secured by a Lien on the Collateral,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“SOFR” means a rate equal to the secured overnight financing rate as administered by the SOFR Administrator.</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“SOFR Administrator” means the Federal Reserve Bank of New York (or a successor administrator of the secured overnight financing rate).</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u w:val="single" w:color="auto"/>
          <w:color w:val="0000FF"/>
        </w:rPr>
        <w:t>“SOFR Administrator’s Website” means the website of the Federal Reserve Bank of New York, currently at http://www.newyorkfed.org, or any successor source for the secured overnight financing rate identified as such by the SOFR Administrator from time to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“SONIA” means a rate equal to the Sterling Overnight Index Average as administered by the SONIA Administrator.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“SONIA Administrator” means the Bank of England (or any successor administrator of the Sterling Overnight Index Average).</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“SONIA Administrator’s Website” means the Bank of England’s website, currently at http://www.bankofengland.co.uk, or any successor source for the Sterling Overnight Index Average identified as such by the SONIA Administrator from time to time.</w:t>
      </w:r>
    </w:p>
    <w:p>
      <w:pPr>
        <w:spacing w:after="0" w:line="159"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Guarantor</w:t>
      </w:r>
      <w:r>
        <w:rPr>
          <w:rFonts w:ascii="Times New Roman" w:cs="Times New Roman" w:eastAsia="Times New Roman" w:hAnsi="Times New Roman"/>
          <w:sz w:val="20"/>
          <w:szCs w:val="20"/>
          <w:color w:val="auto"/>
        </w:rPr>
        <w:t xml:space="preserve">” means any Guarantor that is not an “eligible contract participant” under the Commodity Exchange Act (determined prior to giving effect to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Subsidiary</w:t>
      </w:r>
      <w:r>
        <w:rPr>
          <w:rFonts w:ascii="Times New Roman" w:cs="Times New Roman" w:eastAsia="Times New Roman" w:hAnsi="Times New Roman"/>
          <w:sz w:val="20"/>
          <w:szCs w:val="20"/>
          <w:color w:val="auto"/>
        </w:rPr>
        <w:t>” means Tradeweb LLC and Tradeweb Europe Ltd.</w:t>
      </w:r>
    </w:p>
    <w:p>
      <w:pPr>
        <w:spacing w:after="0" w:line="216"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any Investment, disposition, incurrence or repayment of Indebtedness, Restricted Payment, Subsidiary designation or Incremental Revolving Commitment in respect of which the terms of this Agreement require any test to be calculated on a “Pro Forma Basis” or after giving “Pro Forma Effect.”</w:t>
      </w:r>
    </w:p>
    <w:p>
      <w:pPr>
        <w:spacing w:after="0" w:line="174"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xml:space="preserve">” for a currency means the rate determined by the Administrative Agent or an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 Issuing Bank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lawful currency of the United Kingdom.</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1020"/>
          </w:cols>
          <w:pgMar w:left="440" w:top="265" w:right="439" w:bottom="1440" w:gutter="0" w:footer="0" w:header="0"/>
        </w:sectPr>
      </w:pPr>
    </w:p>
    <w:bookmarkStart w:id="58" w:name="page59"/>
    <w:bookmarkEnd w:id="58"/>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consolidated with those of the parent in the parent’s consolidated financial statements if such financial statements were prepared in accordance with GAAP,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Borrower.</w:t>
      </w:r>
    </w:p>
    <w:p>
      <w:pPr>
        <w:spacing w:after="0" w:line="216"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0"/>
          <w:szCs w:val="20"/>
          <w:u w:val="single" w:color="auto"/>
          <w:color w:val="0000FF"/>
        </w:rPr>
        <w:t>“Successor Rate Conforming Changes” means, with respect to any proposed Successor Rate, any conforming changes to the definition of Base Rate, Interest Period, timing and frequency of determining rates and making payments of interest and other administrative matters as may be appropriate, as reasonably agreed between the Administrative Agent and the Borrower, to reflect the adoption of such Successor Rate and to permit the administration thereof by the Administrative Agent in a manner consistent with market practice (or, if the Administrative Agent determines, in its reasonable discretion, that adoption of any portion of such market practice is not administratively feasible or that no market practice for the administration of such Successor Rate exists, in such other manner of administration as the Administrative Agent and the Borrower reasonably determine).</w:t>
      </w:r>
    </w:p>
    <w:p>
      <w:pPr>
        <w:spacing w:after="0" w:line="18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means, any agreement, contract, or transaction that constitutes a “swap” within the meaning of Section 1a(47) of the Commodity Exchange Act.</w:t>
      </w:r>
    </w:p>
    <w:p>
      <w:pPr>
        <w:spacing w:after="0" w:line="159"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Person, any obligation to pay or perform under any Swap Contract.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Exposure</w:t>
      </w:r>
      <w:r>
        <w:rPr>
          <w:rFonts w:ascii="Times New Roman" w:cs="Times New Roman" w:eastAsia="Times New Roman" w:hAnsi="Times New Roman"/>
          <w:sz w:val="20"/>
          <w:szCs w:val="20"/>
          <w:color w:val="auto"/>
        </w:rPr>
        <w:t>” means, as to any Revolving Lender at any time, such Revolving Lender’s Applicable Percentage of all outstanding Swingline Loans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Facility</w:t>
      </w:r>
      <w:r>
        <w:rPr>
          <w:rFonts w:ascii="Times New Roman" w:cs="Times New Roman" w:eastAsia="Times New Roman" w:hAnsi="Times New Roman"/>
          <w:sz w:val="20"/>
          <w:szCs w:val="20"/>
          <w:color w:val="auto"/>
        </w:rPr>
        <w:t xml:space="preserve">” means the swing line loan facility made available by the Swing Line Lender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Citibank, N.A., in its capacity as provider of Swing Line Loans or any successor swing line lender hereunder.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1020"/>
          </w:cols>
          <w:pgMar w:left="440" w:top="265" w:right="439" w:bottom="1440" w:gutter="0" w:footer="0" w:header="0"/>
        </w:sectPr>
      </w:pPr>
    </w:p>
    <w:bookmarkStart w:id="59" w:name="page60"/>
    <w:bookmarkEnd w:id="59"/>
    <w:p>
      <w:pPr>
        <w:ind w:left="7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Sublimit</w:t>
      </w:r>
      <w:r>
        <w:rPr>
          <w:rFonts w:ascii="Times New Roman" w:cs="Times New Roman" w:eastAsia="Times New Roman" w:hAnsi="Times New Roman"/>
          <w:sz w:val="20"/>
          <w:szCs w:val="20"/>
          <w:color w:val="auto"/>
        </w:rPr>
        <w:t>” means an amount equal to the lesser of (a) $30,000,000 and (b) the aggregate principal amount of the Revolving Commitments. The Swing Line Sublimit is part of, and not in addition to, the Revolving Commitments.</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4"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 Receivable Agreement</w:t>
      </w:r>
      <w:r>
        <w:rPr>
          <w:rFonts w:ascii="Times New Roman" w:cs="Times New Roman" w:eastAsia="Times New Roman" w:hAnsi="Times New Roman"/>
          <w:sz w:val="20"/>
          <w:szCs w:val="20"/>
          <w:color w:val="auto"/>
        </w:rPr>
        <w:t>” means that certain Tax Receivable Agreement, dated as of April 8, 2019, by and among Tradeweb Markets Inc., Tradeweb Markets LLC, and the other parties thereto, as the same may from time to time be amended, restated, supplemented or otherwise modified; provided that any such amendment, restatement, supplement or other modification does not have a material adverse impact on the interest of any Secured Party in any Collateral or Guarantee.</w:t>
      </w:r>
    </w:p>
    <w:p>
      <w:pPr>
        <w:spacing w:after="0" w:line="180"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withholdings (including backup withholding), assessments, or similar fees, charges or deductions now or hereafter imposed, levied, collected or withheld by any Governmental Authority, and any interest, penalties or additions to tax related thereto.</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“Term SOFR” means:</w:t>
      </w:r>
    </w:p>
    <w:p>
      <w:pPr>
        <w:spacing w:after="0" w:line="216" w:lineRule="exact"/>
        <w:rPr>
          <w:sz w:val="20"/>
          <w:szCs w:val="20"/>
          <w:color w:val="auto"/>
        </w:rPr>
      </w:pPr>
    </w:p>
    <w:p>
      <w:pPr>
        <w:jc w:val="both"/>
        <w:ind w:right="20" w:firstLine="767"/>
        <w:spacing w:after="0" w:line="243" w:lineRule="auto"/>
        <w:tabs>
          <w:tab w:leader="none" w:pos="1074" w:val="left"/>
        </w:tabs>
        <w:numPr>
          <w:ilvl w:val="0"/>
          <w:numId w:val="5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for any calculation with respect to a Term SOFR Loan, the Term SOFR Reference Rate for a tenor comparable to the applicable Interest Period on the day (such day, the “Periodic Term SOFR Determination Day”) that is two (2) RFR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85" w:lineRule="exact"/>
        <w:rPr>
          <w:rFonts w:ascii="Times New Roman" w:cs="Times New Roman" w:eastAsia="Times New Roman" w:hAnsi="Times New Roman"/>
          <w:sz w:val="20"/>
          <w:szCs w:val="20"/>
          <w:u w:val="single" w:color="auto"/>
          <w:color w:val="0000FF"/>
        </w:rPr>
      </w:pPr>
    </w:p>
    <w:p>
      <w:pPr>
        <w:jc w:val="both"/>
        <w:ind w:firstLine="767"/>
        <w:spacing w:after="0" w:line="243" w:lineRule="auto"/>
        <w:tabs>
          <w:tab w:leader="none" w:pos="1051" w:val="left"/>
        </w:tabs>
        <w:numPr>
          <w:ilvl w:val="0"/>
          <w:numId w:val="52"/>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for any calculation with respect to an ABR Loan on any day, the Term SOFR Reference Rate for a tenor of one month on the day (such day, the “ABR Term SOFR Determination Day”) that is two (2) RFR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ABR SOFR Determination Day.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“Term SOFR Adjustment” means a percentage equal to 0.10% (ten basis points) per annum.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1020"/>
          </w:cols>
          <w:pgMar w:left="440" w:top="265" w:right="439" w:bottom="1440" w:gutter="0" w:footer="0" w:header="0"/>
        </w:sectPr>
      </w:pPr>
    </w:p>
    <w:bookmarkStart w:id="60" w:name="page61"/>
    <w:bookmarkEnd w:id="60"/>
    <w:p>
      <w:pPr>
        <w:jc w:val="both"/>
        <w:ind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SOFR Administrator” means CME Group Benchmark Administration Limited (CBA) (or a successor administrator of the Term SOFR Reference Rate selected by the Administrative Agent in its reasonable discretion).</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“Term SOFR Borrowing” means, as to any Borrowing, the Loans bearing interest at a rate based on Adjusted Term SOFR comprising such Borrowing other than pursuant to clause (b) of the definition of “Base Rate”.</w:t>
      </w:r>
    </w:p>
    <w:p>
      <w:pPr>
        <w:spacing w:after="0" w:line="159"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u w:val="single" w:color="auto"/>
          <w:color w:val="0000FF"/>
        </w:rPr>
        <w:t>“Term SOFR Loan” means a Loan that bears interest at a rate based on Adjusted Term SOFR other than pursuant to clause (b) of the definition of “Base Rate”.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“Term SOFR Reference Rate” means the forward-looking term rate based on SOFR.</w:t>
      </w:r>
    </w:p>
    <w:p>
      <w:pPr>
        <w:spacing w:after="0" w:line="216"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for any date of determination under this Agreement, the latest four consecutive fiscal quarters of the Borrower for which financial statements have been delivered to the Administrative Agent on or prior to the Closing Date and/or for which financial statements are required to have been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applicable.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$50,000,000.</w:t>
      </w:r>
    </w:p>
    <w:p>
      <w:pPr>
        <w:spacing w:after="0" w:line="216"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Services Agreement</w:t>
      </w:r>
      <w:r>
        <w:rPr>
          <w:rFonts w:ascii="Times New Roman" w:cs="Times New Roman" w:eastAsia="Times New Roman" w:hAnsi="Times New Roman"/>
          <w:sz w:val="20"/>
          <w:szCs w:val="20"/>
          <w:color w:val="auto"/>
        </w:rPr>
        <w:t>” means any agreement between the Borrower or any Restricted Subsidiary and any Approved Counterparty relating to treasury, depository, credit card, debit card, stored value cards, purchasing or procurement cards and cash management services or automated clearinghouse transfer of funds or any overdraft or similar services.</w:t>
      </w:r>
    </w:p>
    <w:p>
      <w:pPr>
        <w:spacing w:after="0" w:line="174" w:lineRule="exact"/>
        <w:rPr>
          <w:sz w:val="20"/>
          <w:szCs w:val="20"/>
          <w:color w:val="auto"/>
        </w:rPr>
      </w:pPr>
    </w:p>
    <w:p>
      <w:pPr>
        <w:jc w:val="both"/>
        <w:ind w:firstLine="771"/>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Indebtedness</w:t>
      </w:r>
      <w:r>
        <w:rPr>
          <w:rFonts w:ascii="Times New Roman" w:cs="Times New Roman" w:eastAsia="Times New Roman" w:hAnsi="Times New Roman"/>
          <w:sz w:val="19"/>
          <w:szCs w:val="19"/>
          <w:color w:val="auto"/>
        </w:rPr>
        <w:t xml:space="preserve">” means, without duplication, as of any date, the aggregate principal amount of Indebtedness of the Borrower and the Restricted Subsidiaries that would be included as a liability on the balance sheet of the Borrower and its Restricted Subsidiaries consisting of Indebtedness for borrowed money, purchase money indebtedness, Capital Lease Obligations and debt obligations evidenced by promissory notes, bonds, debentures, loan agreements or similar instruments, determined on a consolidated basis;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term “Indebtedness” as used herein shall not include any of the following: (i) contingent obligations of the Borrower or any Restricted Subsidiary as an account party or applicant in respect of any letter of credit or letter of guaranty unless such letter of credit or letter of guaranty supports an obligation that constitutes any Indebtedness described above or (ii) any unfunded commitment.</w:t>
      </w:r>
    </w:p>
    <w:p>
      <w:pPr>
        <w:spacing w:after="0" w:line="172"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all fees, costs and expenses incurred or payable by the Borrower or any Restricted Subsidiary in connection with the Transactions.</w:t>
      </w:r>
    </w:p>
    <w:p>
      <w:pPr>
        <w:spacing w:after="0" w:line="159" w:lineRule="exact"/>
        <w:rPr>
          <w:sz w:val="20"/>
          <w:szCs w:val="20"/>
          <w:color w:val="auto"/>
        </w:rPr>
      </w:pPr>
    </w:p>
    <w:p>
      <w:pPr>
        <w:jc w:val="both"/>
        <w:ind w:right="20" w:firstLine="771"/>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(a) the execution, delivery and performance by the Borrower and each other Loan Party of the Loan Documents, (b) the IPO, (c) the consummation of other transactions related to the foregoing and (d) the payment of the Transaction Costs.</w:t>
      </w:r>
    </w:p>
    <w:p>
      <w:pPr>
        <w:spacing w:after="0" w:line="138"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xml:space="preserve">,” when used in reference to any Loan or Borrowing, refers to whether the rate of interest on such Loan, or on the Loans comprising such Borrowing, is determined by reference to </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Eurocurrency Rate or</w:t>
      </w:r>
      <w:r>
        <w:rPr>
          <w:rFonts w:ascii="Times New Roman" w:cs="Times New Roman" w:eastAsia="Times New Roman" w:hAnsi="Times New Roman"/>
          <w:sz w:val="20"/>
          <w:szCs w:val="20"/>
          <w:u w:val="single" w:color="auto"/>
          <w:color w:val="0000FF"/>
        </w:rPr>
        <w:t>EURIBOR Rate, (ii) the Adjusted Daily Simple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RFR, (iii) the Adjusted Term SOFR or (iv)</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 Base Rate.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1020"/>
          </w:cols>
          <w:pgMar w:left="440" w:top="265" w:right="439" w:bottom="1440" w:gutter="0" w:footer="0" w:header="0"/>
        </w:sectPr>
      </w:pPr>
    </w:p>
    <w:bookmarkStart w:id="61" w:name="page62"/>
    <w:bookmarkEnd w:id="61"/>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20"/>
          <w:szCs w:val="20"/>
          <w:u w:val="single" w:color="auto"/>
          <w:color w:val="auto"/>
        </w:rPr>
        <w:t>Unfunded Pension Liability</w:t>
      </w:r>
      <w:r>
        <w:rPr>
          <w:rFonts w:ascii="Times New Roman" w:cs="Times New Roman" w:eastAsia="Times New Roman" w:hAnsi="Times New Roman"/>
          <w:sz w:val="20"/>
          <w:szCs w:val="20"/>
          <w:color w:val="auto"/>
        </w:rPr>
        <w:t>”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74"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2.05(a)(x)</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(i) any Subsidiary designated by the Borrower as an Unrestricted Subsidiary pursuant to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and (ii) any Subsidiary of an Unrestricted Subsidiary.</w:t>
      </w:r>
    </w:p>
    <w:p>
      <w:pPr>
        <w:spacing w:after="0" w:line="159"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with respect to any Person at any date, a subsidiary of such Person of which securities or other ownership 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spacing w:after="0" w:line="180"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color w:val="FF0000"/>
          <w:strike w:val="1"/>
        </w:rPr>
        <w:t>[Reserved]</w:t>
      </w:r>
      <w:r>
        <w:rPr>
          <w:rFonts w:ascii="Times New Roman" w:cs="Times New Roman" w:eastAsia="Times New Roman" w:hAnsi="Times New Roman"/>
          <w:sz w:val="20"/>
          <w:szCs w:val="20"/>
          <w:u w:val="single" w:color="auto"/>
          <w:color w:val="0000FF"/>
        </w:rPr>
        <w:t>Successor Rate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71"/>
        <w:spacing w:after="0" w:line="254" w:lineRule="auto"/>
        <w:rPr>
          <w:sz w:val="20"/>
          <w:szCs w:val="20"/>
          <w:color w:val="auto"/>
        </w:rPr>
      </w:pPr>
      <w:r>
        <w:rPr>
          <w:rFonts w:ascii="Times New Roman" w:cs="Times New Roman" w:eastAsia="Times New Roman" w:hAnsi="Times New Roman"/>
          <w:sz w:val="20"/>
          <w:szCs w:val="20"/>
          <w:u w:val="single" w:color="auto"/>
          <w:color w:val="0000FF"/>
        </w:rPr>
        <w:t>Notwithstanding anything to the contrary in this Agreement or any other Loan Documents, if the Administrative Agent determines (which determination shall be conclusive absent manifest error), or the Required Lenders notify the Administrative Agent (with a copy to the Borrower) that the Required Lenders have determined, that:</w:t>
      </w:r>
    </w:p>
    <w:p>
      <w:pPr>
        <w:spacing w:after="0" w:line="174" w:lineRule="exact"/>
        <w:rPr>
          <w:sz w:val="20"/>
          <w:szCs w:val="20"/>
          <w:color w:val="auto"/>
        </w:rPr>
      </w:pPr>
    </w:p>
    <w:p>
      <w:pPr>
        <w:jc w:val="both"/>
        <w:ind w:left="1540" w:firstLine="472"/>
        <w:spacing w:after="0" w:line="249" w:lineRule="auto"/>
        <w:tabs>
          <w:tab w:leader="none" w:pos="2261" w:val="left"/>
        </w:tabs>
        <w:numPr>
          <w:ilvl w:val="0"/>
          <w:numId w:val="5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adequate and reasonable means do not exist for ascertaining Term SOFR, SONIA or the EURIBOR Rate for any requested Interest Period for any currency, including, without limitation, because Term SOFR, SONIA or the EURIBOR Rate for such currency is not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u w:val="single" w:color="auto"/>
          <w:color w:val="0000FF"/>
        </w:rPr>
      </w:pPr>
    </w:p>
    <w:p>
      <w:pPr>
        <w:jc w:val="both"/>
        <w:ind w:left="1540" w:firstLine="472"/>
        <w:spacing w:after="0" w:line="249" w:lineRule="auto"/>
        <w:tabs>
          <w:tab w:leader="none" w:pos="2344" w:val="left"/>
        </w:tabs>
        <w:numPr>
          <w:ilvl w:val="0"/>
          <w:numId w:val="53"/>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supervisor for the administrator of Term SOFR, SONIA or the EURIBOR Rate or a Governmental Authority having jurisdiction over the Administrative Agent has made a public statement identifying a specific date after which Term SOFR, SONIA or the EURIBOR Rate for such currency shall no longer be made available, or used for determining the interest rate of loans (such specific date, the “Scheduled Unavailability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020"/>
          </w:cols>
          <w:pgMar w:left="440" w:top="265" w:right="439" w:bottom="1440" w:gutter="0" w:footer="0" w:header="0"/>
        </w:sectPr>
      </w:pPr>
    </w:p>
    <w:bookmarkStart w:id="62" w:name="page63"/>
    <w:bookmarkEnd w:id="62"/>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after such determination by the Administrative Agent or receipt by the Administrative Agent of such notice, as applicable, the Administrative Agent and the Borrower may amend this Agreement to replace Term SOFR, SONIA or the EURIBOR Rate, as applicable, for such currency with an alternate benchmark rate (including any mathematical or other adjustments to the benchmark (if any) incorporated therein) that has been broadly accepted by the syndicated loan market in the United States in lieu of Term SOFR, SONIA or the EURIBOR Rate, as applicable (any such proposed rate, a “Successor Rate”), together with any proposed Successor Rate Conforming Changes and, notwithstanding anything to the contrary in Section 9.02,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notice that such Required Lenders do not accept such amendment.</w:t>
      </w:r>
    </w:p>
    <w:p>
      <w:pPr>
        <w:spacing w:after="0" w:line="186"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u w:val="single" w:color="auto"/>
          <w:color w:val="0000FF"/>
        </w:rPr>
        <w:t>If no Successor Rate has been determined and the circumstances under clause (i) above exist, the obligation of the Lenders to make or maintain Term SOFR Loans, Daily Simple RFR Loans or EURIBOR Rate Loans, as applicable, in the relevant currency shall be suspended, (to the extent of the affected Loans or Interest Periods). Upon receipt of such notice, the Borrower may revoke any pending request for a Term SOFR Borrowing, Daily Simple RFR Borrowing or EURIBOR Rate Borrowing, as applicable, in the relevant currency of, conversion to or continuation of Term SOFR Loans, Daily Simple RFR Loans or EURIBOR Rate Loans, as applicable, (to the extent of the affected Loans or Interest Periods) or, failing that, will be deemed to have converted such request into a request for a Borrowing of Base Rate Loans in Dollars in the amount specified therein (and, if the affected Borrowings are denominated in an Alternative Currency for which no EURIBOR Rate or RFR option is available as provided above, such Loans shall be redenominated in Dollars on the last day of the current Interest Period based on the Dollar Equivalent amount thereof on such date). Notwithstanding the foregoing, the Successor Rate shall not be less than zero.</w:t>
      </w:r>
    </w:p>
    <w:p>
      <w:pPr>
        <w:spacing w:after="0" w:line="192"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 Times of Day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1020"/>
          </w:cols>
          <w:pgMar w:left="440" w:top="265" w:right="4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4"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w:t>
      </w:r>
      <w:r>
        <w:rPr>
          <w:rFonts w:ascii="Times New Roman" w:cs="Times New Roman" w:eastAsia="Times New Roman" w:hAnsi="Times New Roman"/>
          <w:sz w:val="20"/>
          <w:szCs w:val="20"/>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Borrower notifies the Administrative Agent that the Borrower requests an amendment (which the Borrower and the Administrative Agent agree to negotiate in good faith and in respect of which no fee shall be paid to the Lenders)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92" w:lineRule="exact"/>
        <w:rPr>
          <w:sz w:val="20"/>
          <w:szCs w:val="20"/>
          <w:color w:val="auto"/>
        </w:rPr>
      </w:pPr>
    </w:p>
    <w:p>
      <w:pPr>
        <w:jc w:val="both"/>
        <w:ind w:right="20" w:firstLine="1542"/>
        <w:spacing w:after="0" w:line="260" w:lineRule="auto"/>
        <w:rPr>
          <w:sz w:val="20"/>
          <w:szCs w:val="20"/>
          <w:color w:val="auto"/>
        </w:rPr>
      </w:pPr>
      <w:r>
        <w:rPr>
          <w:rFonts w:ascii="Times New Roman" w:cs="Times New Roman" w:eastAsia="Times New Roman" w:hAnsi="Times New Roman"/>
          <w:sz w:val="19"/>
          <w:szCs w:val="19"/>
          <w:color w:val="auto"/>
        </w:rPr>
        <w:t>Notwithstanding any other provision contained herein, any lease of any Loan Party or any of its Restricted Subsidiaries that is or would have been treated as an operating lease for purposes of GAAP prior to the issuance by the FASB on February 25, 2016 of an Accounting Standards Update (the “</w:t>
      </w:r>
      <w:r>
        <w:rPr>
          <w:rFonts w:ascii="Times New Roman" w:cs="Times New Roman" w:eastAsia="Times New Roman" w:hAnsi="Times New Roman"/>
          <w:sz w:val="19"/>
          <w:szCs w:val="19"/>
          <w:u w:val="single" w:color="auto"/>
          <w:color w:val="auto"/>
        </w:rPr>
        <w:t>ASU</w:t>
      </w:r>
      <w:r>
        <w:rPr>
          <w:rFonts w:ascii="Times New Roman" w:cs="Times New Roman" w:eastAsia="Times New Roman" w:hAnsi="Times New Roman"/>
          <w:sz w:val="19"/>
          <w:szCs w:val="19"/>
          <w:color w:val="auto"/>
        </w:rPr>
        <w:t>”) shall continue to be accounted for as an operating lease for purposes of all financial definitions and calculations for purpose of this Agreement (whether or not such operating lease obligations were in effect on such date) and shall not constitute Indebtedness under this Agreement notwithstanding the fact that such obligations are required in accordance with the ASU (on a prospective or retroactive basis or otherwise) to be treated as capitalized leases or lease liability in the financial statements.</w:t>
      </w:r>
    </w:p>
    <w:p>
      <w:pPr>
        <w:spacing w:after="0" w:line="173" w:lineRule="exact"/>
        <w:rPr>
          <w:sz w:val="20"/>
          <w:szCs w:val="20"/>
          <w:color w:val="auto"/>
        </w:rPr>
      </w:pPr>
    </w:p>
    <w:p>
      <w:pPr>
        <w:jc w:val="both"/>
        <w:ind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Pro Forma Calculations</w:t>
      </w:r>
      <w:r>
        <w:rPr>
          <w:rFonts w:ascii="Times New Roman" w:cs="Times New Roman" w:eastAsia="Times New Roman" w:hAnsi="Times New Roman"/>
          <w:sz w:val="20"/>
          <w:szCs w:val="20"/>
          <w:color w:val="auto"/>
        </w:rPr>
        <w:t>. For purposes of any determination of LTM Consolidated EBITDA, Consolidated EBITDA the Interest Coverage Ratio or the Leverage Ratio pursuant to this Agreement, the calculation of LTM Consolidated EBITDA, Consolidated EBITDA, the Interest Coverage Ratio and the Leverage Ratio shall be made on a Pro Forma Basis.</w:t>
      </w:r>
    </w:p>
    <w:p>
      <w:pPr>
        <w:spacing w:after="0" w:line="174" w:lineRule="exact"/>
        <w:rPr>
          <w:sz w:val="20"/>
          <w:szCs w:val="20"/>
          <w:color w:val="auto"/>
        </w:rPr>
      </w:pPr>
    </w:p>
    <w:p>
      <w:pPr>
        <w:jc w:val="both"/>
        <w:ind w:firstLine="1542"/>
        <w:spacing w:after="0" w:line="245"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stated amount, or the Dollar Equivalent of such Letter of Credit in effect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spacing w:after="0" w:line="1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Exchange Rates; Currency Equivalents.</w:t>
      </w:r>
    </w:p>
    <w:p>
      <w:pPr>
        <w:spacing w:after="0" w:line="216" w:lineRule="exact"/>
        <w:rPr>
          <w:sz w:val="20"/>
          <w:szCs w:val="20"/>
          <w:color w:val="auto"/>
        </w:rPr>
      </w:pPr>
    </w:p>
    <w:p>
      <w:pPr>
        <w:jc w:val="both"/>
        <w:ind w:left="760" w:firstLine="724"/>
        <w:spacing w:after="0" w:line="246" w:lineRule="auto"/>
        <w:tabs>
          <w:tab w:leader="none" w:pos="1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1020"/>
          </w:cols>
          <w:pgMar w:left="440" w:top="265" w:right="439" w:bottom="1440" w:gutter="0" w:footer="0" w:header="0"/>
        </w:sectPr>
      </w:pPr>
    </w:p>
    <w:bookmarkStart w:id="64" w:name="page65"/>
    <w:bookmarkEnd w:id="64"/>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purposes of determining compliance with any Dollar-denominated restriction on (x) the incurrence of Indebtedness, the Dollar-equivalent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w:t>
      </w:r>
    </w:p>
    <w:p>
      <w:pPr>
        <w:spacing w:after="0" w:line="194" w:lineRule="exact"/>
        <w:rPr>
          <w:sz w:val="20"/>
          <w:szCs w:val="20"/>
          <w:color w:val="auto"/>
        </w:rPr>
      </w:pPr>
    </w:p>
    <w:p>
      <w:pPr>
        <w:jc w:val="both"/>
        <w:ind w:right="20" w:firstLine="724"/>
        <w:spacing w:after="0" w:line="245" w:lineRule="auto"/>
        <w:tabs>
          <w:tab w:leader="none" w:pos="105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Wherever in this Agreement in connection with a Borrowing, conversion, continuation or prepayment of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or the issuance, amendment or extension of a Letter of Credit, an amount, such</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as a required minimum or multiple amount, is expressed in Dollars, but such Borrowing,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or Letter of Credit is denominated in an Alternative Currency, such amount shall be the relevant Alternative 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Equivalent of such Dollar amount (rounded to the nearest unit of such Alternative Currency, with 0.5 of a unit being rounded upward), as determined by the Administrative Agent or the applicable Issuing Bank, as the case may be.</w:t>
      </w:r>
    </w:p>
    <w:p>
      <w:pPr>
        <w:spacing w:after="0" w:line="1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Additional Alternative Currencies.</w:t>
      </w:r>
    </w:p>
    <w:p>
      <w:pPr>
        <w:spacing w:after="0" w:line="216" w:lineRule="exact"/>
        <w:rPr>
          <w:sz w:val="20"/>
          <w:szCs w:val="20"/>
          <w:color w:val="auto"/>
        </w:rPr>
      </w:pPr>
    </w:p>
    <w:p>
      <w:pPr>
        <w:jc w:val="both"/>
        <w:ind w:firstLine="724"/>
        <w:spacing w:after="0" w:line="244" w:lineRule="auto"/>
        <w:tabs>
          <w:tab w:leader="none" w:pos="99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from time to time request that Revolving Loans be made and/or Letters of Credit be issued in a currency other than those specifically listed in the definition of “Alternative Currency;”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requested currency is a lawful currency (other than Dollars) that is readily available and freely transferable and convertible into Dollars. In the case of any such request with respect to the making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spacing w:after="0" w:line="185" w:lineRule="exact"/>
        <w:rPr>
          <w:rFonts w:ascii="Times New Roman" w:cs="Times New Roman" w:eastAsia="Times New Roman" w:hAnsi="Times New Roman"/>
          <w:sz w:val="20"/>
          <w:szCs w:val="20"/>
          <w:color w:val="auto"/>
        </w:rPr>
      </w:pPr>
    </w:p>
    <w:p>
      <w:pPr>
        <w:jc w:val="both"/>
        <w:ind w:right="20" w:firstLine="724"/>
        <w:spacing w:after="0" w:line="244" w:lineRule="auto"/>
        <w:tabs>
          <w:tab w:leader="none" w:pos="10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request shall be made to the Administrative Agent not later than 11:00 a.m., 15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or such Issuing Bank (in the</w:t>
      </w:r>
    </w:p>
    <w:p>
      <w:pPr>
        <w:spacing w:after="0" w:line="11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260"/>
          </w:cols>
          <w:pgMar w:left="1200" w:top="265" w:right="439" w:bottom="1440" w:gutter="0" w:footer="0" w:header="0"/>
        </w:sectPr>
      </w:pPr>
    </w:p>
    <w:bookmarkStart w:id="65" w:name="page66"/>
    <w:bookmarkEnd w:id="65"/>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case of a request pertaining to Letters of Credit) shall notify the Administrative Agent, not later than 11:00 a.m., seven Business Days after receipt of such request whether it consents, in its sole discretion, to the making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EURIBOR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Revolving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or the issuance of Letters of Credit, as the case may be, in such requested currency.</w:t>
      </w:r>
    </w:p>
    <w:p>
      <w:pPr>
        <w:spacing w:after="0" w:line="174" w:lineRule="exact"/>
        <w:rPr>
          <w:sz w:val="20"/>
          <w:szCs w:val="20"/>
          <w:color w:val="auto"/>
        </w:rPr>
      </w:pPr>
    </w:p>
    <w:p>
      <w:pPr>
        <w:jc w:val="both"/>
        <w:ind w:left="760" w:firstLine="724"/>
        <w:spacing w:after="0" w:line="242" w:lineRule="auto"/>
        <w:tabs>
          <w:tab w:leader="none" w:pos="175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Revolving Lender or Issuing Bank, as the case may be, to respond to such request within the time period specified in the preceding sentence shall be deemed to be a refusal by such Lender or Issuing Bank, as the case may be, to permit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w:t>
      </w:r>
      <w:r>
        <w:rPr>
          <w:rFonts w:ascii="Times New Roman" w:cs="Times New Roman" w:eastAsia="Times New Roman" w:hAnsi="Times New Roman"/>
          <w:sz w:val="20"/>
          <w:szCs w:val="20"/>
          <w:color w:val="auto"/>
        </w:rPr>
        <w:t xml:space="preserve"> Rate </w:t>
      </w:r>
      <w:r>
        <w:rPr>
          <w:rFonts w:ascii="Times New Roman" w:cs="Times New Roman" w:eastAsia="Times New Roman" w:hAnsi="Times New Roman"/>
          <w:sz w:val="20"/>
          <w:szCs w:val="20"/>
          <w:color w:val="FF0000"/>
          <w:strike w:val="1"/>
        </w:rPr>
        <w:t>Revolving</w:t>
      </w:r>
      <w:r>
        <w:rPr>
          <w:rFonts w:ascii="Times New Roman" w:cs="Times New Roman" w:eastAsia="Times New Roman" w:hAnsi="Times New Roman"/>
          <w:sz w:val="20"/>
          <w:szCs w:val="20"/>
          <w:color w:val="auto"/>
        </w:rPr>
        <w:t xml:space="preserve"> Loans to be made or Letters of Credit to be issued in such requested currency. If the Administrative Agent and all the Revolving Lenders consent to making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EURIBOR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in such requested currency, the Administrative Agent shall so notify the Borrower and such currency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shall thereupon be deemed for all purposes to be an Alternative Currency hereunder for purposes of any Borrowings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Revolving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and if the Administrative Agent and the applicable Issuing Bank</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000000"/>
        </w:rPr>
        <w:t>Section 1.08</w:t>
      </w:r>
      <w:r>
        <w:rPr>
          <w:rFonts w:ascii="Times New Roman" w:cs="Times New Roman" w:eastAsia="Times New Roman" w:hAnsi="Times New Roman"/>
          <w:sz w:val="20"/>
          <w:szCs w:val="20"/>
          <w:color w:val="000000"/>
        </w:rPr>
        <w:t>, the Administrative Agent shall promptly so notify the Borrower.</w:t>
      </w:r>
    </w:p>
    <w:p>
      <w:pPr>
        <w:spacing w:after="0" w:line="1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Change of Currency.</w:t>
      </w:r>
    </w:p>
    <w:p>
      <w:pPr>
        <w:spacing w:after="0" w:line="216" w:lineRule="exact"/>
        <w:rPr>
          <w:sz w:val="20"/>
          <w:szCs w:val="20"/>
          <w:color w:val="auto"/>
        </w:rPr>
      </w:pPr>
    </w:p>
    <w:p>
      <w:pPr>
        <w:jc w:val="both"/>
        <w:ind w:left="760" w:firstLine="724"/>
        <w:spacing w:after="0" w:line="243" w:lineRule="auto"/>
        <w:tabs>
          <w:tab w:leader="none" w:pos="175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89" w:lineRule="exact"/>
        <w:rPr>
          <w:rFonts w:ascii="Times New Roman" w:cs="Times New Roman" w:eastAsia="Times New Roman" w:hAnsi="Times New Roman"/>
          <w:sz w:val="20"/>
          <w:szCs w:val="20"/>
          <w:color w:val="auto"/>
        </w:rPr>
      </w:pPr>
    </w:p>
    <w:p>
      <w:pPr>
        <w:jc w:val="both"/>
        <w:ind w:left="760" w:right="20" w:firstLine="724"/>
        <w:spacing w:after="0" w:line="249" w:lineRule="auto"/>
        <w:tabs>
          <w:tab w:leader="none" w:pos="177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w:t>
      </w:r>
    </w:p>
    <w:p>
      <w:pPr>
        <w:spacing w:after="0" w:line="179"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80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spacing w:after="0" w:line="174" w:lineRule="exact"/>
        <w:rPr>
          <w:sz w:val="20"/>
          <w:szCs w:val="20"/>
          <w:color w:val="auto"/>
        </w:rPr>
      </w:pPr>
    </w:p>
    <w:p>
      <w:pPr>
        <w:jc w:val="both"/>
        <w:ind w:firstLine="1432"/>
        <w:spacing w:after="0" w:line="249"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Limited Condition Transactions</w:t>
      </w:r>
      <w:r>
        <w:rPr>
          <w:rFonts w:ascii="Times New Roman" w:cs="Times New Roman" w:eastAsia="Times New Roman" w:hAnsi="Times New Roman"/>
          <w:sz w:val="20"/>
          <w:szCs w:val="20"/>
          <w:color w:val="auto"/>
        </w:rPr>
        <w:t>. In connection with any action being taken in connection with a Limited Condition Transaction (including any incurrence or assumption of Indebtedness and the use of proceeds thereof, the incurrence or assumption of any Liens or the making of any Investments, Restricted Payments or fundamental changes, the repayment of any Indebtedness 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1020"/>
          </w:cols>
          <w:pgMar w:left="440" w:top="265" w:right="439" w:bottom="1440" w:gutter="0" w:footer="0" w:header="0"/>
        </w:sectPr>
      </w:pPr>
    </w:p>
    <w:bookmarkStart w:id="66" w:name="page67"/>
    <w:bookmarkEnd w:id="66"/>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which an irrevocable notice of prepayment or redemption is required or the designation of any Restricted Subsidiaries or Unrestricted Subsidiaries in connection with a Permitted Acquisition or permitted Investment, in each case, in connection with such Limited Condition Transaction), for purposes of:</w:t>
      </w:r>
    </w:p>
    <w:p>
      <w:pPr>
        <w:spacing w:after="0" w:line="174" w:lineRule="exact"/>
        <w:rPr>
          <w:sz w:val="20"/>
          <w:szCs w:val="20"/>
          <w:color w:val="auto"/>
        </w:rPr>
      </w:pPr>
    </w:p>
    <w:p>
      <w:pPr>
        <w:ind w:left="760" w:right="20" w:firstLine="724"/>
        <w:spacing w:after="0" w:line="269" w:lineRule="auto"/>
        <w:tabs>
          <w:tab w:leader="none" w:pos="175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which requires the calculation of the Leverage Ratio or the Interest Coverage Ratio;</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8"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determining compliance with representations, warranties, Defaults or Events of Default (other than for purposes of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9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availability under baskets set forth in this Agreement (including baskets measured as a percentage of Consolidated EBITDA, if any),</w:t>
      </w:r>
    </w:p>
    <w:p>
      <w:pPr>
        <w:spacing w:after="0" w:line="15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in each case, at the option of the Borrower (the Borrower’s election to exercise such option in connection with any Limited Condition Transaction, an “</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the date (the “</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of determination of whether any such action is permitted hereunder shall be deemed to be the date the definitive agreements for such Limited Condition Transaction are entered into or irrevocable prepayment or redemption notices are provided to the applicable holders, as applicable, and if, after giving pro forma effect to the Limited Condition Transaction and the other transactions to be entered into in connection therewith (including any incurrence or assumption of Indebtedness and the use of proceeds thereof, the incurrence or assumption of any Liens or the making of any Investments, Restricted Payments or fundamental changes, the repayment of any Indebtedness for which an irrevocable notice of prepayment or redemption is required or the designation of any Restricted Subsidiaries or Unrestricted Subsidiaries in connection with a Permitted Acquisition or permitted Investment) as if they had occurred at the beginning of the most recent four consecutive fiscal quarters ending prior to the LCT Test Date for which consolidated financial statements of the Borrower are available, the Borrower could have taken such action on the relevant LCT Test Date in compliance with such ratio, basket or other provision, such ratio, basket or other provision shall be deemed to have been complied with. For the avoidance of doubt, if the Borrower has made an LCT Election and any of the ratios, baskets or other provisions for which compliance was determined or tested as of the LCT Test Date are exceeded or otherwise not satisfied as a result of fluctuations in any such ratio or basket or non-compliance with such other provision, including due to fluctuations in Consolidated EBITDA of the Borrower or the Person subject to such Limited Condition Transaction, at or prior to the consummation of the relevant transaction or action, such baskets, ratios or other provisions will not be deemed to have been exceeded or breached as a result of such fluctuations or non-compliance solely for purposes of determining whether the relevant transaction or action is permitted to be consummated or taken;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such ratios or baskets improve as a result of such fluctuations, such improved ratios and/or baskets may be utilized. If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the date on which such Limited Condition Transaction is consummated or the definitive agreement for such Limited Condition Transaction is terminated or expires without consummation of such Limited Condition Transaction, any such ratio or basket shall be tested by calculating the availability under such ratio or basket on a Pro Forma Basis assuming such Limited Condition Transaction and other transactions in connection therewith have been consummated (including any incurrence of Indebtedness and any associated Lien and the use of proceeds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Consolidated Cash Interest Expense for purposes of the Interest Coverage Ratio will be calculated using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1020"/>
          </w:cols>
          <w:pgMar w:left="440" w:top="265" w:right="439" w:bottom="1440" w:gutter="0" w:footer="0" w:header="0"/>
        </w:sectPr>
      </w:pPr>
    </w:p>
    <w:bookmarkStart w:id="67" w:name="page68"/>
    <w:bookmarkEnd w:id="67"/>
    <w:p>
      <w:pPr>
        <w:jc w:val="both"/>
        <w:ind w:left="4"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assumed interest rate based on the indicative interest margin contained in any financing commitment documentation with respect to such Indebtedness or, if no such indicative interest margin exists, as reasonably determined by the Borrower in good faith).</w:t>
      </w:r>
    </w:p>
    <w:p>
      <w:pPr>
        <w:spacing w:after="0" w:line="1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ARTICLE II.</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THE CREDITS</w:t>
      </w:r>
    </w:p>
    <w:p>
      <w:pPr>
        <w:spacing w:after="0" w:line="194" w:lineRule="exact"/>
        <w:rPr>
          <w:sz w:val="20"/>
          <w:szCs w:val="20"/>
          <w:color w:val="auto"/>
        </w:rPr>
      </w:pPr>
    </w:p>
    <w:p>
      <w:pPr>
        <w:jc w:val="both"/>
        <w:ind w:left="4" w:firstLine="1542"/>
        <w:spacing w:after="0" w:line="245" w:lineRule="auto"/>
        <w:rPr>
          <w:sz w:val="20"/>
          <w:szCs w:val="20"/>
          <w:color w:val="auto"/>
        </w:rPr>
      </w:pPr>
      <w:r>
        <w:rPr>
          <w:rFonts w:ascii="Times New Roman" w:cs="Times New Roman" w:eastAsia="Times New Roman" w:hAnsi="Times New Roman"/>
          <w:sz w:val="20"/>
          <w:szCs w:val="20"/>
          <w:color w:val="auto"/>
        </w:rPr>
        <w:t xml:space="preserve">Section 2.01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xml:space="preserve">. Subject to the terms and conditions set forth herein, each Revolving Lender severally agrees to make Revolving Loans denominated in Dollars or an Alternative Currency to the Borrower as elected by the Borrower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from time to time, on any Business Day during the Revolving Availability Period, in an aggregate Outstanding Amount that will not result in (i) such Revolving Lender’s Revolving Exposure exceeding such Revolving Lender’s Revolving Commitment or</w:t>
      </w:r>
    </w:p>
    <w:p>
      <w:pPr>
        <w:spacing w:after="0" w:line="1" w:lineRule="exact"/>
        <w:rPr>
          <w:sz w:val="20"/>
          <w:szCs w:val="20"/>
          <w:color w:val="auto"/>
        </w:rPr>
      </w:pPr>
    </w:p>
    <w:p>
      <w:pPr>
        <w:jc w:val="both"/>
        <w:ind w:left="4" w:hanging="4"/>
        <w:spacing w:after="0"/>
        <w:tabs>
          <w:tab w:leader="none" w:pos="30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Outstanding Amount of Revolving Loans of the Revolving Lender acting as the Swing Line Lender, when aggregated with such Revolving Lender’s LC Exposure and the amount of Swing Line Loans outstanding, exceeding such Revolving Lender’s Revolving Commitment. Within the limits of each Revolving Lender’s Revolving Commitment, and subject to the other terms and conditions hereof, the Borrower may borrow, prepay, and reborrow Revolving Loans. Revolving Loans denominated in Dollars may be ABR Loans or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as further provided herein, and Revolving Loans denominated in Alternative Currencies must be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Daily Simple RFR Loans or EURIBOR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 as further provided herein.</w:t>
      </w:r>
    </w:p>
    <w:p>
      <w:pPr>
        <w:spacing w:after="0" w:line="191" w:lineRule="exact"/>
        <w:rPr>
          <w:sz w:val="20"/>
          <w:szCs w:val="20"/>
          <w:color w:val="auto"/>
        </w:rPr>
      </w:pPr>
    </w:p>
    <w:p>
      <w:pPr>
        <w:jc w:val="both"/>
        <w:ind w:left="4" w:right="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Funding of Loans</w:t>
      </w:r>
      <w:r>
        <w:rPr>
          <w:rFonts w:ascii="Times New Roman" w:cs="Times New Roman" w:eastAsia="Times New Roman" w:hAnsi="Times New Roman"/>
          <w:sz w:val="20"/>
          <w:szCs w:val="20"/>
          <w:color w:val="auto"/>
        </w:rPr>
        <w:t xml:space="preserve">. Each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Revolving Commitments of the Lenders are several and no Lender shall be responsible for any other Lender’s failure to make Loans as required. Each Lender at its option may make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auto"/>
        </w:rPr>
        <w:t xml:space="preserve"> Loan by causing any domestic or foreign branch or Affiliate of such Lender to make such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 to repay such Loan in accordance with the terms of this Agreement.</w:t>
      </w:r>
    </w:p>
    <w:p>
      <w:pPr>
        <w:spacing w:after="0" w:line="186" w:lineRule="exact"/>
        <w:rPr>
          <w:sz w:val="20"/>
          <w:szCs w:val="20"/>
          <w:color w:val="auto"/>
        </w:rPr>
      </w:pPr>
    </w:p>
    <w:p>
      <w:pPr>
        <w:ind w:left="1484"/>
        <w:spacing w:after="0"/>
        <w:rPr>
          <w:sz w:val="20"/>
          <w:szCs w:val="20"/>
          <w:color w:val="auto"/>
        </w:rPr>
      </w:pPr>
      <w:r>
        <w:rPr>
          <w:rFonts w:ascii="Times New Roman" w:cs="Times New Roman" w:eastAsia="Times New Roman" w:hAnsi="Times New Roman"/>
          <w:sz w:val="20"/>
          <w:szCs w:val="20"/>
          <w:color w:val="auto"/>
        </w:rPr>
        <w:t xml:space="preserve">Section 2.03 </w:t>
      </w:r>
      <w:r>
        <w:rPr>
          <w:rFonts w:ascii="Times New Roman" w:cs="Times New Roman" w:eastAsia="Times New Roman" w:hAnsi="Times New Roman"/>
          <w:sz w:val="20"/>
          <w:szCs w:val="20"/>
          <w:u w:val="single" w:color="auto"/>
          <w:color w:val="auto"/>
        </w:rPr>
        <w:t>Requests for Borrowings.</w:t>
      </w:r>
    </w:p>
    <w:p>
      <w:pPr>
        <w:spacing w:after="0" w:line="216" w:lineRule="exact"/>
        <w:rPr>
          <w:sz w:val="20"/>
          <w:szCs w:val="20"/>
          <w:color w:val="auto"/>
        </w:rPr>
      </w:pPr>
    </w:p>
    <w:p>
      <w:pPr>
        <w:jc w:val="both"/>
        <w:ind w:left="764" w:firstLine="724"/>
        <w:spacing w:after="0" w:line="241" w:lineRule="auto"/>
        <w:tabs>
          <w:tab w:leader="none" w:pos="175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Borrowing, each conversion of Loans from one Type to the other, and each continuation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Loans or EURIBOR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shall be made upon the Borrower’s irrevocable notice to the Administrative Agent, which may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be given by telephone. Each such notice must be received by the Administrative Agent not later than (i) 1:00 p.m. (New York City time) three Business Days prior to the requested date of any Borrowing or continuation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000000"/>
        </w:rPr>
        <w:t xml:space="preserve"> Loans denominated in Dollars or any conversion of ABR Loans to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000000"/>
        </w:rPr>
        <w:t xml:space="preserve"> Loans, (ii) 1:00 p.m. (New York City time) </w:t>
      </w:r>
      <w:r>
        <w:rPr>
          <w:rFonts w:ascii="Times New Roman" w:cs="Times New Roman" w:eastAsia="Times New Roman" w:hAnsi="Times New Roman"/>
          <w:sz w:val="20"/>
          <w:szCs w:val="20"/>
          <w:color w:val="FF0000"/>
          <w:strike w:val="1"/>
        </w:rPr>
        <w:t>four</w:t>
      </w:r>
      <w:r>
        <w:rPr>
          <w:rFonts w:ascii="Times New Roman" w:cs="Times New Roman" w:eastAsia="Times New Roman" w:hAnsi="Times New Roman"/>
          <w:sz w:val="20"/>
          <w:szCs w:val="20"/>
          <w:u w:val="single" w:color="auto"/>
          <w:color w:val="0000FF"/>
        </w:rPr>
        <w:t>three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Business Days prior to the requested date of any Borrowing or continuation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denominated in an Alternative Currency and (iii) 11:00 a.m. (New York City time) on the requested date of any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Borrowing of ABR Loans;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however</w:t>
      </w:r>
      <w:r>
        <w:rPr>
          <w:rFonts w:ascii="Times New Roman" w:cs="Times New Roman" w:eastAsia="Times New Roman" w:hAnsi="Times New Roman"/>
          <w:sz w:val="20"/>
          <w:szCs w:val="20"/>
          <w:color w:val="000000"/>
        </w:rPr>
        <w:t xml:space="preserve">, that if the Borrower wishes to request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Loans having an Interest Period other than one</w:t>
      </w:r>
      <w:r>
        <w:rPr>
          <w:rFonts w:ascii="Times New Roman" w:cs="Times New Roman" w:eastAsia="Times New Roman" w:hAnsi="Times New Roman"/>
          <w:sz w:val="20"/>
          <w:szCs w:val="20"/>
          <w:color w:val="FF0000"/>
          <w:strike w:val="1"/>
        </w:rPr>
        <w:t>, two</w:t>
      </w:r>
      <w:r>
        <w:rPr>
          <w:rFonts w:ascii="Times New Roman" w:cs="Times New Roman" w:eastAsia="Times New Roman" w:hAnsi="Times New Roman"/>
          <w:sz w:val="20"/>
          <w:szCs w:val="20"/>
          <w:color w:val="000000"/>
        </w:rPr>
        <w:t>, three or six months in duration as provided in the definition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1024"/>
          </w:cols>
          <w:pgMar w:left="436" w:top="265" w:right="439" w:bottom="1440" w:gutter="0" w:footer="0" w:header="0"/>
        </w:sectPr>
      </w:pPr>
    </w:p>
    <w:bookmarkStart w:id="68" w:name="page69"/>
    <w:bookmarkEnd w:id="68"/>
    <w:p>
      <w:pPr>
        <w:jc w:val="both"/>
        <w:ind w:right="20"/>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conversion or continuation, the Administrative Agent shall notify the Borrower (which notice may be by telephone) whether or not the requested Interest Period has been consented to by all the Lenders. Each telephonic notice by the Borrower pursuant to this </w:t>
      </w:r>
      <w:r>
        <w:rPr>
          <w:rFonts w:ascii="Times New Roman" w:cs="Times New Roman" w:eastAsia="Times New Roman" w:hAnsi="Times New Roman"/>
          <w:sz w:val="19"/>
          <w:szCs w:val="19"/>
          <w:u w:val="single" w:color="auto"/>
          <w:color w:val="auto"/>
        </w:rPr>
        <w:t>Section 2.03(a)</w:t>
      </w:r>
      <w:r>
        <w:rPr>
          <w:rFonts w:ascii="Times New Roman" w:cs="Times New Roman" w:eastAsia="Times New Roman" w:hAnsi="Times New Roman"/>
          <w:sz w:val="19"/>
          <w:szCs w:val="19"/>
          <w:color w:val="auto"/>
        </w:rPr>
        <w:t xml:space="preserve"> must be confirmed promptly by delivery to the Administrative Agent of a written Borrowing Request, appropriately completed and signed by a Responsible Officer of the Borrower. Each Borrowing of, conversion to or continuation of </w:t>
      </w:r>
      <w:r>
        <w:rPr>
          <w:rFonts w:ascii="Times New Roman" w:cs="Times New Roman" w:eastAsia="Times New Roman" w:hAnsi="Times New Roman"/>
          <w:sz w:val="19"/>
          <w:szCs w:val="19"/>
          <w:color w:val="FF0000"/>
          <w:strike w:val="1"/>
        </w:rPr>
        <w:t>Eurocurrency</w:t>
      </w:r>
      <w:r>
        <w:rPr>
          <w:rFonts w:ascii="Times New Roman" w:cs="Times New Roman" w:eastAsia="Times New Roman" w:hAnsi="Times New Roman"/>
          <w:sz w:val="19"/>
          <w:szCs w:val="19"/>
          <w:u w:val="single" w:color="auto"/>
          <w:color w:val="0000FF"/>
        </w:rPr>
        <w:t>RFR Loans or EURIBOR Rate</w:t>
      </w:r>
      <w:r>
        <w:rPr>
          <w:rFonts w:ascii="Times New Roman" w:cs="Times New Roman" w:eastAsia="Times New Roman" w:hAnsi="Times New Roman"/>
          <w:sz w:val="19"/>
          <w:szCs w:val="19"/>
          <w:color w:val="auto"/>
        </w:rPr>
        <w:t xml:space="preserve"> Loans shall be a Dollar Equivalent of approximately $1,000,000 or a whole multiple of approximately $500,000 in excess thereof. Except as provided in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each Borrowing of or conversion to ABR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w:t>
      </w:r>
      <w:r>
        <w:rPr>
          <w:rFonts w:ascii="Times New Roman" w:cs="Times New Roman" w:eastAsia="Times New Roman" w:hAnsi="Times New Roman"/>
          <w:sz w:val="19"/>
          <w:szCs w:val="19"/>
          <w:color w:val="FF0000"/>
          <w:strike w:val="1"/>
        </w:rPr>
        <w:t>Eurocurrency</w:t>
      </w:r>
      <w:r>
        <w:rPr>
          <w:rFonts w:ascii="Times New Roman" w:cs="Times New Roman" w:eastAsia="Times New Roman" w:hAnsi="Times New Roman"/>
          <w:sz w:val="19"/>
          <w:szCs w:val="19"/>
          <w:u w:val="single" w:color="auto"/>
          <w:color w:val="0000FF"/>
        </w:rPr>
        <w:t>RFR Loans or EURIBOR Rate</w:t>
      </w:r>
      <w:r>
        <w:rPr>
          <w:rFonts w:ascii="Times New Roman" w:cs="Times New Roman" w:eastAsia="Times New Roman" w:hAnsi="Times New Roman"/>
          <w:sz w:val="19"/>
          <w:szCs w:val="19"/>
          <w:color w:val="auto"/>
        </w:rPr>
        <w:t xml:space="preserve"> Loans, (ii) the requested date of the Borrowing, conversion or continuation, as the case may be (which shall be a Business Day),</w:t>
      </w:r>
    </w:p>
    <w:p>
      <w:pPr>
        <w:spacing w:after="0" w:line="5" w:lineRule="exact"/>
        <w:rPr>
          <w:sz w:val="20"/>
          <w:szCs w:val="20"/>
          <w:color w:val="auto"/>
        </w:rPr>
      </w:pPr>
    </w:p>
    <w:p>
      <w:pPr>
        <w:jc w:val="both"/>
        <w:ind w:firstLine="7"/>
        <w:spacing w:after="0"/>
        <w:tabs>
          <w:tab w:leader="none" w:pos="35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principal amount of Loans to be borrowed, converted or continued, (iv) the currency in which the Loans to be borrowed are to be denominated, (v) the Type of Loans to be borrowed or to which existing Revolving Loans are to be converted and (vi) if applicable, the duration of the Interest Period with respect thereto.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EURIBOR Rate</w:t>
      </w:r>
      <w:r>
        <w:rPr>
          <w:rFonts w:ascii="Times New Roman" w:cs="Times New Roman" w:eastAsia="Times New Roman" w:hAnsi="Times New Roman"/>
          <w:sz w:val="20"/>
          <w:szCs w:val="20"/>
          <w:color w:val="auto"/>
        </w:rPr>
        <w:t xml:space="preserve"> Loan with an Interest Period of one month). Any such automatic conversion to ABR Loans shall be effective as of the last day of the Interest Period then in effect with respect to the applicable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If the Borrower requests a Borrowing of, conversion to, or continuation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in any such Borrowing Request, but fails to specify an Interest Period (or fails to give a timely notice requesting a continuation of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denominated in an Alternative Currency), it will be deemed to have specified an Interest Period of one month. If no currency is specified in a Borrowing Request, the requested Borrowing shall be in Dollars.</w:t>
      </w:r>
    </w:p>
    <w:p>
      <w:pPr>
        <w:spacing w:after="0" w:line="188" w:lineRule="exact"/>
        <w:rPr>
          <w:rFonts w:ascii="Times New Roman" w:cs="Times New Roman" w:eastAsia="Times New Roman" w:hAnsi="Times New Roman"/>
          <w:sz w:val="20"/>
          <w:szCs w:val="20"/>
          <w:color w:val="auto"/>
        </w:rPr>
      </w:pPr>
    </w:p>
    <w:p>
      <w:pPr>
        <w:jc w:val="both"/>
        <w:ind w:firstLine="724"/>
        <w:spacing w:after="0" w:line="241" w:lineRule="auto"/>
        <w:tabs>
          <w:tab w:leader="none" w:pos="1010"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Borrowing Request, the Administrative Agent shall promptly notify each applicable Lender of the amount (and currency) of its pro rata share of the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In the case of each Borrowing, each applicable Lender shall make the amount of its Loan available to the Administrative Agent in Same Day Funds at the Administrative Agent’s Office for Dollars or the applicable Alternative Currency, as the case may be, not later than 9:00 a.m. or, in the case of ABR Loans, 1:00 p.m. (New York City time, if such Loan is in Dollars, or, otherwise, London time) on the Business Day specified in the applicable Borrowing Request. Upon satisfaction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with respect to Loans, if any, made on the Closing Date, the conditions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on the date a Borrowing Request with respect to a Borrowing of Revolving Loans is given by the Borrower, there are LC Borrowings outstanding, then the proceeds of such Borrowing shall be applied, first,</w:t>
      </w:r>
    </w:p>
    <w:p>
      <w:pPr>
        <w:spacing w:after="0" w:line="1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260"/>
          </w:cols>
          <w:pgMar w:left="1200" w:top="26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payment in full of any such LC Borrowings, and second, to the Borrower as provided above.</w:t>
      </w:r>
    </w:p>
    <w:p>
      <w:pPr>
        <w:spacing w:after="0" w:line="216" w:lineRule="exact"/>
        <w:rPr>
          <w:sz w:val="20"/>
          <w:szCs w:val="20"/>
          <w:color w:val="auto"/>
        </w:rPr>
      </w:pPr>
    </w:p>
    <w:p>
      <w:pPr>
        <w:jc w:val="both"/>
        <w:ind w:firstLine="724"/>
        <w:spacing w:after="0" w:line="249" w:lineRule="auto"/>
        <w:tabs>
          <w:tab w:leader="none" w:pos="102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herein,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auto"/>
        </w:rPr>
        <w:t xml:space="preserve"> Loan may be continued or converted only on the last day of an Interest Period for such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auto"/>
        </w:rPr>
        <w:t xml:space="preserve"> Loan. During the existence of an Event of Default, the Required Lenders may require that no Loans may be converted to or continued as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Loans.</w:t>
      </w:r>
    </w:p>
    <w:p>
      <w:pPr>
        <w:spacing w:after="0" w:line="179" w:lineRule="exact"/>
        <w:rPr>
          <w:rFonts w:ascii="Times New Roman" w:cs="Times New Roman" w:eastAsia="Times New Roman" w:hAnsi="Times New Roman"/>
          <w:sz w:val="20"/>
          <w:szCs w:val="20"/>
          <w:color w:val="auto"/>
        </w:rPr>
      </w:pPr>
    </w:p>
    <w:p>
      <w:pPr>
        <w:jc w:val="both"/>
        <w:ind w:right="20" w:firstLine="724"/>
        <w:spacing w:after="0" w:line="245" w:lineRule="auto"/>
        <w:tabs>
          <w:tab w:leader="none" w:pos="100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promptly notify the Borrower and the Lenders of the interest rate applicable to any Interest Period for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upon determination of such interest rate. The determination of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or EURIBOR</w:t>
      </w:r>
      <w:r>
        <w:rPr>
          <w:rFonts w:ascii="Times New Roman" w:cs="Times New Roman" w:eastAsia="Times New Roman" w:hAnsi="Times New Roman"/>
          <w:sz w:val="20"/>
          <w:szCs w:val="20"/>
          <w:color w:val="auto"/>
        </w:rPr>
        <w:t xml:space="preserve"> Rate by the Administrative Agent shall be conclusive in the absence of manifest error. At any time that ABR Loans are outstanding, the Administrative Agent shall notify the Borrower and the applicable Lenders of any change in the Administrative Agent’s prime rate used in determining the Base Rate promptly following the public announcement of such change.</w:t>
      </w:r>
    </w:p>
    <w:p>
      <w:pPr>
        <w:spacing w:after="0" w:line="184" w:lineRule="exact"/>
        <w:rPr>
          <w:rFonts w:ascii="Times New Roman" w:cs="Times New Roman" w:eastAsia="Times New Roman" w:hAnsi="Times New Roman"/>
          <w:sz w:val="20"/>
          <w:szCs w:val="20"/>
          <w:color w:val="auto"/>
        </w:rPr>
      </w:pPr>
    </w:p>
    <w:p>
      <w:pPr>
        <w:jc w:val="both"/>
        <w:ind w:firstLine="724"/>
        <w:spacing w:after="0" w:line="254" w:lineRule="auto"/>
        <w:tabs>
          <w:tab w:leader="none" w:pos="995"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Borrowings, all conversions of Loans from one Type to the other, and all continuations of Loans as the same Type, there shall not be more than ten Interest Periods in effect at one time unless otherwise agreed between the Borrower and the Administrative Agent.</w:t>
      </w:r>
    </w:p>
    <w:p>
      <w:pPr>
        <w:spacing w:after="0" w:line="174" w:lineRule="exact"/>
        <w:rPr>
          <w:rFonts w:ascii="Times New Roman" w:cs="Times New Roman" w:eastAsia="Times New Roman" w:hAnsi="Times New Roman"/>
          <w:sz w:val="20"/>
          <w:szCs w:val="20"/>
          <w:color w:val="auto"/>
        </w:rPr>
      </w:pPr>
    </w:p>
    <w:p>
      <w:pPr>
        <w:jc w:val="both"/>
        <w:ind w:firstLine="724"/>
        <w:spacing w:after="0" w:line="241" w:lineRule="auto"/>
        <w:tabs>
          <w:tab w:leader="none" w:pos="97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time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20"/>
          <w:szCs w:val="20"/>
          <w:u w:val="single" w:color="auto"/>
          <w:color w:val="auto"/>
        </w:rPr>
        <w:t>Section 2.03(f)</w:t>
      </w:r>
      <w:r>
        <w:rPr>
          <w:rFonts w:ascii="Times New Roman" w:cs="Times New Roman" w:eastAsia="Times New Roman" w:hAnsi="Times New Roman"/>
          <w:sz w:val="20"/>
          <w:szCs w:val="20"/>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Any payment by the Borrower shall be without prejudice to any claim the Borrower may have against a Lender that shall have failed to make such payment to the Administrative Agent.</w:t>
      </w:r>
    </w:p>
    <w:p>
      <w:pPr>
        <w:spacing w:after="0" w:line="1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260"/>
          </w:cols>
          <w:pgMar w:left="1200" w:top="265" w:right="439" w:bottom="1440" w:gutter="0" w:footer="0" w:header="0"/>
        </w:sectPr>
      </w:pPr>
    </w:p>
    <w:bookmarkStart w:id="70" w:name="page71"/>
    <w:bookmarkEnd w:id="70"/>
    <w:p>
      <w:pPr>
        <w:ind w:left="4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Times New Roman" w:cs="Times New Roman" w:eastAsia="Times New Roman" w:hAnsi="Times New Roman"/>
          <w:sz w:val="20"/>
          <w:szCs w:val="20"/>
          <w:u w:val="single" w:color="auto"/>
          <w:color w:val="auto"/>
        </w:rPr>
        <w:t>Swing Line Loans.</w:t>
      </w:r>
    </w:p>
    <w:p>
      <w:pPr>
        <w:spacing w:after="0" w:line="216" w:lineRule="exact"/>
        <w:rPr>
          <w:sz w:val="20"/>
          <w:szCs w:val="20"/>
          <w:color w:val="auto"/>
        </w:rPr>
      </w:pPr>
    </w:p>
    <w:p>
      <w:pPr>
        <w:jc w:val="both"/>
        <w:ind w:left="-240" w:firstLine="724"/>
        <w:spacing w:after="0" w:line="255" w:lineRule="auto"/>
        <w:tabs>
          <w:tab w:leader="none" w:pos="74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Swing Line</w:t>
      </w:r>
      <w:r>
        <w:rPr>
          <w:rFonts w:ascii="Times New Roman" w:cs="Times New Roman" w:eastAsia="Times New Roman" w:hAnsi="Times New Roman"/>
          <w:sz w:val="19"/>
          <w:szCs w:val="19"/>
          <w:color w:val="auto"/>
        </w:rPr>
        <w:t>. Subject to the terms and conditions set forth herein, the Swing Line Lender agrees to make loans in Dollars to the Borrower (each such loan, a “</w:t>
      </w:r>
      <w:r>
        <w:rPr>
          <w:rFonts w:ascii="Times New Roman" w:cs="Times New Roman" w:eastAsia="Times New Roman" w:hAnsi="Times New Roman"/>
          <w:sz w:val="19"/>
          <w:szCs w:val="19"/>
          <w:u w:val="single" w:color="auto"/>
          <w:color w:val="auto"/>
        </w:rPr>
        <w:t>Swing Line Loan</w:t>
      </w:r>
      <w:r>
        <w:rPr>
          <w:rFonts w:ascii="Times New Roman" w:cs="Times New Roman" w:eastAsia="Times New Roman" w:hAnsi="Times New Roman"/>
          <w:sz w:val="19"/>
          <w:szCs w:val="19"/>
          <w:color w:val="auto"/>
        </w:rPr>
        <w:t xml:space="preserve">”), from time to time on any Business Day during the period beginning on the Business Day after the Closing Date and until the Maturity Date in an aggregate principal amount not to exceed at any time outstanding the amount of the Swing Line Sublimit;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after giving effect to any Swing Line Loan, (i) the Revolving Exposure of any Lender shall not exceed such Lender’s Revolving Commitment then in effect; and (ii) the Outstanding Amount of Revolving Loans of the Revolving Lender acting as the Swing Line Lender, when aggregated with such Revolving Lender’s LC Exposure and the amount of Swing Line Loans outstanding, exceeding such Revolving Lender’s Revolving Commitment;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the Borrower shall not use the proceeds of any Swing Line Loan to refinance any outstanding Swing Line Loan. Within the foregoing limits, and subject to the other terms and conditions hereof, the Borrower may 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Each Swing Line Loan shall be an ABR Loan. Immediately upon the making of a Swing Line Loan, each Revolving Lender shall be deemed to, and hereby irrevocably and unconditionally agrees to, purchase from the Swing Line Lender a risk participation in such Swing Line Loan in an amount equal to the product of such Lender’s Applicable Percentage times the amount of such Swing Line Loan.</w:t>
      </w:r>
    </w:p>
    <w:p>
      <w:pPr>
        <w:spacing w:after="0" w:line="181" w:lineRule="exact"/>
        <w:rPr>
          <w:rFonts w:ascii="Times New Roman" w:cs="Times New Roman" w:eastAsia="Times New Roman" w:hAnsi="Times New Roman"/>
          <w:sz w:val="19"/>
          <w:szCs w:val="19"/>
          <w:color w:val="auto"/>
        </w:rPr>
      </w:pPr>
    </w:p>
    <w:p>
      <w:pPr>
        <w:jc w:val="both"/>
        <w:ind w:left="-240" w:firstLine="724"/>
        <w:spacing w:after="0" w:line="241" w:lineRule="auto"/>
        <w:tabs>
          <w:tab w:leader="none" w:pos="77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Borrower’s irrevocable notice to the Swing Line Lender, which may be given by telephone. Each such notice must be received by the Swing Line Lender not later than 2:00 p.m. (New York City time) on the requested borrowing date and shall specify (i) the principal amount to be borrowed, which principal amount shall be a minimum of $100,000 (and any amount in excess of $100,000 shall be in integral multiples of $100,000) and (ii) the requested borrowing date, which shall be a Business Day. Each such telephonic notice must be confirmed promptly by delivery to the Swing Line Lender of a written Borrowing Request, appropriately completed and signed by a Responsible Officer of the Borrower. Unless the Swing Line Lender has received notice (by telephone or in writing) from the Administrative Agent (including at the request of any Revolving Lender) prior to 2:00 p.m. (New York City time) on the date of the proposed Swing Line Borrowing (A) directing the Swing Line Lender not to make such Swing Line Loan as a result of the limitations set forth in the first proviso to the first sentence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or (B)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then, subject to the terms and conditions hereof, the Swing Line Lender will, not later than 4:00 p.m. (New York City time) on the borrowing date specified in such Swing Line Loan Notice, make the amount of its Swing Line Loan available to the Borrower at its office by crediting the account of the Borrower on the books of the Swing Line Lender in immediately available funds. Notwithstanding anything to the contrary contained in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elsewhere in this Agreement, the Swing Line Lender shall not be obligated to make any Swing Line Loan at a time when a Revolving Lender is a Defaulting Lender unless the Swing Line Lender has entered into arrangements reasonably satisfactory to it and the Borrower to eliminate the Swing Line Lender’s fronting exposure with respect to the Defaulting Lender’s or Defaulting Lenders’ participation in such Swing Line Loans, including by Cash Collateralizing, or obtaining a backstop letter of credit from an issuer reasonably satisfactory to the Swing Line Lender to support, such Defaulting Lender’s or Defaulting Lenders’ Applicable Percentage of the outstanding Swing Line Loans.</w:t>
      </w:r>
    </w:p>
    <w:p>
      <w:pPr>
        <w:spacing w:after="0" w:line="1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020"/>
          </w:cols>
          <w:pgMar w:left="1440" w:top="265" w:right="439" w:bottom="1440" w:gutter="0" w:footer="0" w:header="0"/>
        </w:sectPr>
      </w:pPr>
    </w:p>
    <w:bookmarkStart w:id="71" w:name="page72"/>
    <w:bookmarkEnd w:id="71"/>
    <w:p>
      <w:pPr>
        <w:ind w:left="760" w:hanging="276"/>
        <w:spacing w:after="0"/>
        <w:tabs>
          <w:tab w:leader="none" w:pos="7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40" w:firstLine="472"/>
        <w:spacing w:after="0" w:line="241" w:lineRule="auto"/>
        <w:tabs>
          <w:tab w:leader="none" w:pos="125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the Borrower (which hereby irrevocably authorizes such Swing Line Lender to so request on its behalf), that each Revolving Lender make a Base Rate Loan in an amount equal to such Lender’s Applicable Percentage of the amount of Swing Line Loans then outstanding. Such request shall be made in writing (which written request shall be deemed to be a Borrowing Request for purposes hereof) and in accordance with the requirements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Swing Line Lender shall furnish the Borrower with a copy of the applicable Committed Loan Notice promptly after delivering such notice to the Administrative Agent. Each Revolving Lender shall make an amount equal to its Applicable Percentage of the amount specified in such Committed Loan Notice available to the Administrative Agent in Same Day Funds for the account of the Swing Line Lender at the Administrative Agent’s Office for Dollar-denominated payments not later than 3:00 p.m. (New York City time) on the day specified in such Committed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Lender that so makes funds available shall be deemed to have made a Base Rate Loan to the Borrower in such amount. The Administrative Agent shall remit the funds so received to the Swing Line Lender.</w:t>
      </w:r>
    </w:p>
    <w:p>
      <w:pPr>
        <w:spacing w:after="0" w:line="194" w:lineRule="exact"/>
        <w:rPr>
          <w:rFonts w:ascii="Times New Roman" w:cs="Times New Roman" w:eastAsia="Times New Roman" w:hAnsi="Times New Roman"/>
          <w:sz w:val="20"/>
          <w:szCs w:val="20"/>
          <w:color w:val="auto"/>
        </w:rPr>
      </w:pPr>
    </w:p>
    <w:p>
      <w:pPr>
        <w:jc w:val="both"/>
        <w:ind w:left="540" w:right="20" w:firstLine="472"/>
        <w:spacing w:after="0" w:line="246" w:lineRule="auto"/>
        <w:tabs>
          <w:tab w:leader="none" w:pos="1317"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Base Rate Loans submitted by the Swing Line Lender as set forth herein shall be deemed to be a request by the Swing Line Lender that each of the Revolving Lenders fund its risk participation in the relevant Swing Line Loan and each Revolving Lender’s payment to the Administrative Agent for the account of the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4" w:lineRule="exact"/>
        <w:rPr>
          <w:rFonts w:ascii="Times New Roman" w:cs="Times New Roman" w:eastAsia="Times New Roman" w:hAnsi="Times New Roman"/>
          <w:sz w:val="20"/>
          <w:szCs w:val="20"/>
          <w:color w:val="auto"/>
        </w:rPr>
      </w:pPr>
    </w:p>
    <w:p>
      <w:pPr>
        <w:jc w:val="both"/>
        <w:ind w:left="540" w:right="20" w:firstLine="472"/>
        <w:spacing w:after="0" w:line="243" w:lineRule="auto"/>
        <w:tabs>
          <w:tab w:leader="none" w:pos="137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Swing Line Lender any amount required to be paid by the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Federal Funds Effective Rate from time to time in effect, plus any reasonable administrative, processing or similar fees customarily charged by the Swing Line Lender in connection with the foregoing.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185" w:lineRule="exact"/>
        <w:rPr>
          <w:rFonts w:ascii="Times New Roman" w:cs="Times New Roman" w:eastAsia="Times New Roman" w:hAnsi="Times New Roman"/>
          <w:sz w:val="20"/>
          <w:szCs w:val="20"/>
          <w:color w:val="auto"/>
        </w:rPr>
      </w:pPr>
    </w:p>
    <w:p>
      <w:pPr>
        <w:jc w:val="both"/>
        <w:ind w:left="540" w:right="20" w:firstLine="472"/>
        <w:spacing w:after="0" w:line="246" w:lineRule="auto"/>
        <w:tabs>
          <w:tab w:leader="none" w:pos="135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Lender may have against the Swing Line Lender, the Borrower or any other Person for any reason whatsoever, (B) the occurrence or continuance of a Default, or (C)</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020"/>
          </w:cols>
          <w:pgMar w:left="1440" w:top="265" w:right="439" w:bottom="1440" w:gutter="0" w:footer="0" w:header="0"/>
        </w:sectPr>
      </w:pPr>
    </w:p>
    <w:bookmarkStart w:id="72" w:name="page73"/>
    <w:bookmarkEnd w:id="72"/>
    <w:p>
      <w:pPr>
        <w:jc w:val="both"/>
        <w:ind w:left="540"/>
        <w:spacing w:after="0" w:line="24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Revolving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(but not to purchase and fund risk participations in Swing Line Loans)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risk participations shall relieve or otherwise impair the obligation of the Borrower to repay Swing Line Loans, together with interest as provided herein.</w:t>
      </w:r>
    </w:p>
    <w:p>
      <w:pPr>
        <w:spacing w:after="0" w:line="184" w:lineRule="exact"/>
        <w:rPr>
          <w:sz w:val="20"/>
          <w:szCs w:val="20"/>
          <w:color w:val="auto"/>
        </w:rPr>
      </w:pPr>
    </w:p>
    <w:p>
      <w:pPr>
        <w:ind w:left="760" w:hanging="276"/>
        <w:spacing w:after="0"/>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40" w:right="20" w:firstLine="472"/>
        <w:spacing w:after="0" w:line="246" w:lineRule="auto"/>
        <w:tabs>
          <w:tab w:leader="none" w:pos="1258"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 Line Loan, if the Swing Line Lender receives any payment on account of such Swing Line Loan, the Swing Line Lender will distribute to such Lender its Applicable Percentage or other applicable share provided for under this Agreement of such payment (appropriately adjusted, in the case of interest payments, to reflect the period of time during which such Lender’s risk participation was funded) in the same funds as those received by the Swing Line Lender.</w:t>
      </w:r>
    </w:p>
    <w:p>
      <w:pPr>
        <w:spacing w:after="0" w:line="184" w:lineRule="exact"/>
        <w:rPr>
          <w:rFonts w:ascii="Times New Roman" w:cs="Times New Roman" w:eastAsia="Times New Roman" w:hAnsi="Times New Roman"/>
          <w:sz w:val="20"/>
          <w:szCs w:val="20"/>
          <w:color w:val="auto"/>
        </w:rPr>
      </w:pPr>
    </w:p>
    <w:p>
      <w:pPr>
        <w:jc w:val="both"/>
        <w:ind w:left="540" w:right="20" w:firstLine="472"/>
        <w:spacing w:after="0" w:line="244" w:lineRule="auto"/>
        <w:tabs>
          <w:tab w:leader="none" w:pos="130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Swing Line Lender in respect of principal or interest on any Swing Line Loan is required to be returned by the Swing Line Lender under any of the circumstances described in this Agreement (including pursuant to any settlement entered into by the Swing Line Lender in its discretion), each Revolving Lender shall pay to the Swing Line Lender its Applicable Percentage thereof on demand of the Administrative Agent,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at a rate per annum equal to the Federal Funds Effective Rate. The Administrative Agent will make such demand upon the request of the Swing Line Lender.</w:t>
      </w:r>
    </w:p>
    <w:p>
      <w:pPr>
        <w:spacing w:after="0" w:line="185" w:lineRule="exact"/>
        <w:rPr>
          <w:rFonts w:ascii="Times New Roman" w:cs="Times New Roman" w:eastAsia="Times New Roman" w:hAnsi="Times New Roman"/>
          <w:sz w:val="20"/>
          <w:szCs w:val="20"/>
          <w:color w:val="auto"/>
        </w:rPr>
      </w:pPr>
    </w:p>
    <w:p>
      <w:pPr>
        <w:jc w:val="both"/>
        <w:ind w:left="-240" w:right="20" w:firstLine="724"/>
        <w:spacing w:after="0" w:line="249" w:lineRule="auto"/>
        <w:tabs>
          <w:tab w:leader="none" w:pos="74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The Swing Line Lender shall be responsible for invoicing the Borrower for interest on the Swing Line Loans. Until each Revolving Lender funds its ABR Loan or risk participation pursuant to this Section 2.04 to refinance such Lender’s Applicable Percentage of any Swing Line Loan, interest in respect of such Applicable Percentage shall be solely for the account of the Swing Line Lender.</w:t>
      </w:r>
    </w:p>
    <w:p>
      <w:pPr>
        <w:spacing w:after="0" w:line="179" w:lineRule="exact"/>
        <w:rPr>
          <w:rFonts w:ascii="Times New Roman" w:cs="Times New Roman" w:eastAsia="Times New Roman" w:hAnsi="Times New Roman"/>
          <w:sz w:val="20"/>
          <w:szCs w:val="20"/>
          <w:color w:val="auto"/>
        </w:rPr>
      </w:pPr>
    </w:p>
    <w:p>
      <w:pPr>
        <w:ind w:left="-240" w:right="20" w:firstLine="724"/>
        <w:spacing w:after="0" w:line="269" w:lineRule="auto"/>
        <w:tabs>
          <w:tab w:leader="none" w:pos="7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Borrower shall make all payments of principal and interest in respect of the Swing Line Loans directly to the Swing Line Lender.</w:t>
      </w:r>
    </w:p>
    <w:p>
      <w:pPr>
        <w:spacing w:after="0" w:line="159" w:lineRule="exact"/>
        <w:rPr>
          <w:rFonts w:ascii="Times New Roman" w:cs="Times New Roman" w:eastAsia="Times New Roman" w:hAnsi="Times New Roman"/>
          <w:sz w:val="20"/>
          <w:szCs w:val="20"/>
          <w:color w:val="auto"/>
        </w:rPr>
      </w:pPr>
    </w:p>
    <w:p>
      <w:pPr>
        <w:jc w:val="both"/>
        <w:ind w:left="-240" w:right="20" w:firstLine="724"/>
        <w:spacing w:after="0" w:line="242" w:lineRule="auto"/>
        <w:tabs>
          <w:tab w:leader="none" w:pos="75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the Swing Line Lender</w:t>
      </w:r>
      <w:r>
        <w:rPr>
          <w:rFonts w:ascii="Times New Roman" w:cs="Times New Roman" w:eastAsia="Times New Roman" w:hAnsi="Times New Roman"/>
          <w:sz w:val="20"/>
          <w:szCs w:val="20"/>
          <w:color w:val="auto"/>
        </w:rPr>
        <w:t>. The Swing Line Lender may be replaced at any time by written agreement among the Borrower, the Administrative Agent, the replaced Swing Line Lender and the successor Swing Line Lender. The Administrative Agent shall notify the Lenders of any such replacement of a Swing Line Lender. From and after the effective date of any such replacement, (x) the successor Swing Line Lender shall have all the rights and obligations of the replaced Swing Line Lender under this Agreement with respect to Swing Line Loans made thereafter and (y) references herein to the term “Swing Line Lender” shall be deemed to refer to such successor or to any previous Swing Line Lender, or to such successor and all previous Swing Line Lenders, as the context shall require. After the replacement of a Swing Line Lender hereunder, the replaced Swing Line Lender shall remain a party hereto and shall continue to have all the rights and obligations of a Swing Line Lender under this Agreement with respect to Swing Line Loans made by it prior to its replacement, but shall not be required to make additional Swing Line Loans.</w:t>
      </w:r>
    </w:p>
    <w:p>
      <w:pPr>
        <w:spacing w:after="0" w:line="12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020"/>
          </w:cols>
          <w:pgMar w:left="1440" w:top="261" w:right="439" w:bottom="1440" w:gutter="0" w:footer="0" w:header="0"/>
        </w:sectPr>
      </w:pPr>
    </w:p>
    <w:bookmarkStart w:id="73" w:name="page74"/>
    <w:bookmarkEnd w:id="73"/>
    <w:p>
      <w:pPr>
        <w:jc w:val="both"/>
        <w:ind w:left="-240" w:right="20" w:firstLine="724"/>
        <w:spacing w:after="0" w:line="249" w:lineRule="auto"/>
        <w:tabs>
          <w:tab w:leader="none" w:pos="78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Resignation of the Swing Line Lender</w:t>
      </w:r>
      <w:r>
        <w:rPr>
          <w:rFonts w:ascii="Times New Roman" w:cs="Times New Roman" w:eastAsia="Times New Roman" w:hAnsi="Times New Roman"/>
          <w:sz w:val="20"/>
          <w:szCs w:val="20"/>
          <w:color w:val="auto"/>
        </w:rPr>
        <w:t xml:space="preserve">. Subject to the appointment and acceptance of a successor Swing Line Lender, the Swing Line Lender may resign as a Swing Line Lender at any time upon thirty days’ prior written notice to the Administrative Agent, the Borrower and the Lenders, in which case, such Swing Line Lender shall be replaced in accordance with </w:t>
      </w:r>
      <w:r>
        <w:rPr>
          <w:rFonts w:ascii="Times New Roman" w:cs="Times New Roman" w:eastAsia="Times New Roman" w:hAnsi="Times New Roman"/>
          <w:sz w:val="20"/>
          <w:szCs w:val="20"/>
          <w:u w:val="single" w:color="auto"/>
          <w:color w:val="auto"/>
        </w:rPr>
        <w:t>Section 2.04(g)</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Letters of Credit.</w:t>
      </w:r>
    </w:p>
    <w:p>
      <w:pPr>
        <w:spacing w:after="0" w:line="216" w:lineRule="exact"/>
        <w:rPr>
          <w:sz w:val="20"/>
          <w:szCs w:val="20"/>
          <w:color w:val="auto"/>
        </w:rPr>
      </w:pPr>
    </w:p>
    <w:p>
      <w:pPr>
        <w:ind w:left="760" w:hanging="276"/>
        <w:spacing w:after="0"/>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540" w:firstLine="472"/>
        <w:spacing w:after="0" w:line="255" w:lineRule="auto"/>
        <w:tabs>
          <w:tab w:leader="none" w:pos="1285" w:val="left"/>
        </w:tabs>
        <w:numPr>
          <w:ilvl w:val="1"/>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terms and conditions set forth herein, (A) each Issuing Bank agrees, in reliance upon the agreements of the other Revolving Lenders set forth in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 from time to time on any Business Day during the period from the Closing Date until the fifth Business Day prior to the Maturity Date, to issue Letters of Credit denominated in Dollars or any Alternative Currency for the account of the Borrower under the Revolving Facility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Letter of Credit may be for the benefit of any Subsidiary of the Borrower) and to amend or renew Letters of Credit previously issued by it, in accordance with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(y) to honor drawings under the Letters of Credit and (B) the Revolving Lenders severally agree to participate in Letters of Credit pursuant to this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Issuing Bank shall make LC Credit Extensions with respect to Letters of Credit, and Revolving Lenders shall not be obligated to participate in Letters of Credit if, after giving effect to such LC Credit Extension, (x) the Revolving Exposure of any Lender would exceed its Revolving Commitment or (y) the Outstanding Amount of the L/C Exposure would exceed its Letter of Credit Sublimit.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spacing w:after="0" w:line="173" w:lineRule="exact"/>
        <w:rPr>
          <w:rFonts w:ascii="Times New Roman" w:cs="Times New Roman" w:eastAsia="Times New Roman" w:hAnsi="Times New Roman"/>
          <w:sz w:val="19"/>
          <w:szCs w:val="19"/>
          <w:color w:val="auto"/>
        </w:rPr>
      </w:pPr>
    </w:p>
    <w:p>
      <w:pPr>
        <w:ind w:left="1300" w:hanging="288"/>
        <w:spacing w:after="0"/>
        <w:tabs>
          <w:tab w:leader="none" w:pos="13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Bank shall issue or amend any Letters of Credit if:</w:t>
      </w:r>
    </w:p>
    <w:p>
      <w:pPr>
        <w:spacing w:after="0" w:line="215" w:lineRule="exact"/>
        <w:rPr>
          <w:rFonts w:ascii="Times New Roman" w:cs="Times New Roman" w:eastAsia="Times New Roman" w:hAnsi="Times New Roman"/>
          <w:sz w:val="20"/>
          <w:szCs w:val="20"/>
          <w:color w:val="auto"/>
        </w:rPr>
      </w:pPr>
    </w:p>
    <w:p>
      <w:pPr>
        <w:jc w:val="both"/>
        <w:ind w:left="1080" w:right="20" w:firstLine="455"/>
        <w:spacing w:after="0" w:line="254" w:lineRule="auto"/>
        <w:tabs>
          <w:tab w:leader="none" w:pos="1824"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2.05(a)(viii)</w:t>
      </w:r>
      <w:r>
        <w:rPr>
          <w:rFonts w:ascii="Times New Roman" w:cs="Times New Roman" w:eastAsia="Times New Roman" w:hAnsi="Times New Roman"/>
          <w:sz w:val="20"/>
          <w:szCs w:val="20"/>
          <w:color w:val="auto"/>
        </w:rPr>
        <w:t>, the expiry date of such requested Letter of Credit would occur more than twelve months after the date of issuance or last renewal, unless otherwise agreed by such Issuing Bank and the Administrative Agent; or</w:t>
      </w:r>
    </w:p>
    <w:p>
      <w:pPr>
        <w:spacing w:after="0" w:line="174" w:lineRule="exact"/>
        <w:rPr>
          <w:rFonts w:ascii="Times New Roman" w:cs="Times New Roman" w:eastAsia="Times New Roman" w:hAnsi="Times New Roman"/>
          <w:sz w:val="20"/>
          <w:szCs w:val="20"/>
          <w:color w:val="auto"/>
        </w:rPr>
      </w:pPr>
    </w:p>
    <w:p>
      <w:pPr>
        <w:ind w:left="1080" w:right="20" w:firstLine="455"/>
        <w:spacing w:after="0" w:line="269" w:lineRule="auto"/>
        <w:tabs>
          <w:tab w:leader="none" w:pos="1817"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such requested Letter of Credit would occur after the applicable fifth Business Day prior to the Maturity Date, unless each Revolving Lender shall have approved such expiry date.</w:t>
      </w:r>
    </w:p>
    <w:p>
      <w:pPr>
        <w:spacing w:after="0" w:line="159" w:lineRule="exact"/>
        <w:rPr>
          <w:rFonts w:ascii="Times New Roman" w:cs="Times New Roman" w:eastAsia="Times New Roman" w:hAnsi="Times New Roman"/>
          <w:sz w:val="20"/>
          <w:szCs w:val="20"/>
          <w:color w:val="auto"/>
        </w:rPr>
      </w:pPr>
    </w:p>
    <w:p>
      <w:pPr>
        <w:ind w:left="1360" w:hanging="348"/>
        <w:spacing w:after="0"/>
        <w:tabs>
          <w:tab w:leader="none" w:pos="13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340" w:hanging="328"/>
        <w:spacing w:after="0"/>
        <w:tabs>
          <w:tab w:leader="none" w:pos="134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540" w:right="20" w:firstLine="472"/>
        <w:spacing w:after="0" w:line="269" w:lineRule="auto"/>
        <w:tabs>
          <w:tab w:leader="none" w:pos="1305"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Issuing Bank shall act on behalf of the Revolving Lenders with respect to any Letters of Credit issued by it and the documents associated therewith, and</w:t>
      </w:r>
    </w:p>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020"/>
          </w:cols>
          <w:pgMar w:left="1440" w:top="265" w:right="439" w:bottom="1440" w:gutter="0" w:footer="0" w:header="0"/>
        </w:sectPr>
      </w:pPr>
    </w:p>
    <w:bookmarkStart w:id="74" w:name="page75"/>
    <w:bookmarkEnd w:id="74"/>
    <w:p>
      <w:pPr>
        <w:jc w:val="both"/>
        <w:ind w:left="54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Issuing Bank shall have all of the benefits and immunities (A) provided to the Administrative Agent in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with respect to any acts taken or omissions suffered by such Issuing Bank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included each Issuing Bank with respect to such acts or omissions, and (B) as additionally provided herein with respect to the Issuing Banks.</w:t>
      </w:r>
    </w:p>
    <w:p>
      <w:pPr>
        <w:spacing w:after="0" w:line="185" w:lineRule="exact"/>
        <w:rPr>
          <w:sz w:val="20"/>
          <w:szCs w:val="20"/>
          <w:color w:val="auto"/>
        </w:rPr>
      </w:pPr>
    </w:p>
    <w:p>
      <w:pPr>
        <w:jc w:val="both"/>
        <w:ind w:left="540" w:firstLine="472"/>
        <w:spacing w:after="0" w:line="241" w:lineRule="auto"/>
        <w:tabs>
          <w:tab w:leader="none" w:pos="137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1:00 p.m. at least two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 (h) such other information as shall be necessary to prepare such Letter 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w:t>
      </w:r>
    </w:p>
    <w:p>
      <w:pPr>
        <w:spacing w:after="0" w:line="191" w:lineRule="exact"/>
        <w:rPr>
          <w:rFonts w:ascii="Times New Roman" w:cs="Times New Roman" w:eastAsia="Times New Roman" w:hAnsi="Times New Roman"/>
          <w:sz w:val="20"/>
          <w:szCs w:val="20"/>
          <w:color w:val="auto"/>
        </w:rPr>
      </w:pPr>
    </w:p>
    <w:p>
      <w:pPr>
        <w:jc w:val="both"/>
        <w:ind w:left="540" w:right="20" w:firstLine="472"/>
        <w:spacing w:after="0" w:line="256" w:lineRule="auto"/>
        <w:tabs>
          <w:tab w:leader="none" w:pos="140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(and, with respect to Letters of Credit, if any, issued on the Closing Date, the conditions set forth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w:t>
      </w:r>
    </w:p>
    <w:p>
      <w:pPr>
        <w:spacing w:after="0" w:line="1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020"/>
          </w:cols>
          <w:pgMar w:left="1440" w:top="265" w:right="439" w:bottom="1440" w:gutter="0" w:footer="0" w:header="0"/>
        </w:sectPr>
      </w:pPr>
    </w:p>
    <w:bookmarkStart w:id="75" w:name="page76"/>
    <w:bookmarkEnd w:id="75"/>
    <w:p>
      <w:pPr>
        <w:ind w:left="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Percentage under the applicable Revolving Facility times the amount of such Letter of Credit.</w:t>
      </w:r>
    </w:p>
    <w:p>
      <w:pPr>
        <w:spacing w:after="0" w:line="216" w:lineRule="exact"/>
        <w:rPr>
          <w:sz w:val="20"/>
          <w:szCs w:val="20"/>
          <w:color w:val="auto"/>
        </w:rPr>
      </w:pPr>
    </w:p>
    <w:p>
      <w:pPr>
        <w:jc w:val="both"/>
        <w:ind w:left="540" w:firstLine="472"/>
        <w:spacing w:after="0" w:line="241" w:lineRule="auto"/>
        <w:tabs>
          <w:tab w:leader="none" w:pos="145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the applicable Issuing Bank may, in its sole discretion, agree to issue a Letter of Credit that has automatic renewal provisions (each, an “</w:t>
      </w:r>
      <w:r>
        <w:rPr>
          <w:rFonts w:ascii="Times New Roman" w:cs="Times New Roman" w:eastAsia="Times New Roman" w:hAnsi="Times New Roman"/>
          <w:sz w:val="20"/>
          <w:szCs w:val="20"/>
          <w:u w:val="single" w:color="auto"/>
          <w:color w:val="auto"/>
        </w:rPr>
        <w:t>Auto-Renewal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Nonrenewal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Issuing Bank shall not permit any such renewal if (A) such Issuing Bank has determined that it would not be permitted to issue such Letter of Credit in its renewed form under the terms thereof, or (B) it has received notice (which may be by telephone or in writing) on or before the day that is five Business Days before the Nonrenewal Notice Date from the Administrative Agent or the Required Lenders, as applicable, or the Borrower that one or more of the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w:t>
      </w:r>
    </w:p>
    <w:p>
      <w:pPr>
        <w:spacing w:after="0" w:line="194" w:lineRule="exact"/>
        <w:rPr>
          <w:rFonts w:ascii="Times New Roman" w:cs="Times New Roman" w:eastAsia="Times New Roman" w:hAnsi="Times New Roman"/>
          <w:sz w:val="20"/>
          <w:szCs w:val="20"/>
          <w:color w:val="auto"/>
        </w:rPr>
      </w:pPr>
    </w:p>
    <w:p>
      <w:pPr>
        <w:jc w:val="both"/>
        <w:ind w:left="540" w:right="20" w:firstLine="472"/>
        <w:spacing w:after="0" w:line="254" w:lineRule="auto"/>
        <w:tabs>
          <w:tab w:leader="none" w:pos="134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4" w:lineRule="exact"/>
        <w:rPr>
          <w:rFonts w:ascii="Times New Roman" w:cs="Times New Roman" w:eastAsia="Times New Roman" w:hAnsi="Times New Roman"/>
          <w:sz w:val="20"/>
          <w:szCs w:val="20"/>
          <w:color w:val="auto"/>
        </w:rPr>
      </w:pPr>
    </w:p>
    <w:p>
      <w:pPr>
        <w:jc w:val="both"/>
        <w:ind w:left="540" w:firstLine="472"/>
        <w:spacing w:after="0" w:line="241" w:lineRule="auto"/>
        <w:tabs>
          <w:tab w:leader="none" w:pos="131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 Disbursement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of the Honor Date, the amount of the unreimbursed LC Disbursement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(expressed in Dollars based on the Dollar</w:t>
      </w:r>
    </w:p>
    <w:p>
      <w:pPr>
        <w:spacing w:after="0" w:line="1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020"/>
          </w:cols>
          <w:pgMar w:left="1440" w:top="265" w:right="439" w:bottom="1440" w:gutter="0" w:footer="0" w:header="0"/>
        </w:sectPr>
      </w:pPr>
    </w:p>
    <w:bookmarkStart w:id="76" w:name="page77"/>
    <w:bookmarkEnd w:id="76"/>
    <w:p>
      <w:pPr>
        <w:jc w:val="both"/>
        <w:ind w:left="540"/>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Equivalent amount thereof in the case of an Alternative Currency), and the amount of such Revolving Lender’s Applicable Percentage thereof. In such event, the Borrower shall be deemed to have requested an ABR Revolving Loan to be disbursed on the Honor Date in an amount equal to the Outstanding Amount of such LC Disbursement, without regard to the minimum and multiples specified 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for the principal amount of ABR Loans, but subject to the amount of the unutilized portion of the Revolving Commitments, and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Borrowing Request). Any notice given by an Issuing Bank or the Administrative Agent pursuant to this </w:t>
      </w:r>
      <w:r>
        <w:rPr>
          <w:rFonts w:ascii="Times New Roman" w:cs="Times New Roman" w:eastAsia="Times New Roman" w:hAnsi="Times New Roman"/>
          <w:sz w:val="20"/>
          <w:szCs w:val="20"/>
          <w:u w:val="single" w:color="auto"/>
          <w:color w:val="auto"/>
        </w:rPr>
        <w:t>Section 2.05(a)(x)</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86" w:lineRule="exact"/>
        <w:rPr>
          <w:sz w:val="20"/>
          <w:szCs w:val="20"/>
          <w:color w:val="auto"/>
        </w:rPr>
      </w:pPr>
    </w:p>
    <w:p>
      <w:pPr>
        <w:jc w:val="both"/>
        <w:ind w:left="540" w:right="20" w:firstLine="472"/>
        <w:spacing w:after="0" w:line="243" w:lineRule="auto"/>
        <w:tabs>
          <w:tab w:leader="none" w:pos="137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 (including any such Lender acting as an Issuing Bank) shall upon receipt of any notice made pursuant to </w:t>
      </w:r>
      <w:r>
        <w:rPr>
          <w:rFonts w:ascii="Times New Roman" w:cs="Times New Roman" w:eastAsia="Times New Roman" w:hAnsi="Times New Roman"/>
          <w:sz w:val="20"/>
          <w:szCs w:val="20"/>
          <w:u w:val="single" w:color="auto"/>
          <w:color w:val="auto"/>
        </w:rPr>
        <w:t>Section 2.05(a)(x)</w:t>
      </w:r>
      <w:r>
        <w:rPr>
          <w:rFonts w:ascii="Times New Roman" w:cs="Times New Roman" w:eastAsia="Times New Roman" w:hAnsi="Times New Roman"/>
          <w:sz w:val="20"/>
          <w:szCs w:val="20"/>
          <w:color w:val="auto"/>
        </w:rPr>
        <w:t xml:space="preserve">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w:t>
      </w:r>
      <w:r>
        <w:rPr>
          <w:rFonts w:ascii="Times New Roman" w:cs="Times New Roman" w:eastAsia="Times New Roman" w:hAnsi="Times New Roman"/>
          <w:sz w:val="20"/>
          <w:szCs w:val="20"/>
          <w:u w:val="single" w:color="auto"/>
          <w:color w:val="auto"/>
        </w:rPr>
        <w:t>Section 2.05(a)(xii)</w:t>
      </w:r>
      <w:r>
        <w:rPr>
          <w:rFonts w:ascii="Times New Roman" w:cs="Times New Roman" w:eastAsia="Times New Roman" w:hAnsi="Times New Roman"/>
          <w:sz w:val="20"/>
          <w:szCs w:val="20"/>
          <w:color w:val="auto"/>
        </w:rPr>
        <w:t>,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spacing w:after="0" w:line="189" w:lineRule="exact"/>
        <w:rPr>
          <w:rFonts w:ascii="Times New Roman" w:cs="Times New Roman" w:eastAsia="Times New Roman" w:hAnsi="Times New Roman"/>
          <w:sz w:val="20"/>
          <w:szCs w:val="20"/>
          <w:color w:val="auto"/>
        </w:rPr>
      </w:pPr>
    </w:p>
    <w:p>
      <w:pPr>
        <w:jc w:val="both"/>
        <w:ind w:left="540" w:firstLine="472"/>
        <w:spacing w:after="0" w:line="243" w:lineRule="auto"/>
        <w:tabs>
          <w:tab w:leader="none" w:pos="144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LC Disbursement that is not fully reimbursed by the Borrower and has not been refinanced by an ABR Revolving Loan because the applicable conditions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cannot be satisfied or for any other reason, the Borrower shall be deemed to have incurred from the applicable Issuing Bank an LC Borrowing in the Outstanding Amount of the LC Disbursement that is not so reimbursed or refinanced, which LC Borrowing shall be due and payable on demand (together with interest) and shall bear interest at the rate specified in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In such event, each Revolving Lender’s payment to the Administrative Agent for the account of the applicable Issuing Bank pursuant to </w:t>
      </w:r>
      <w:r>
        <w:rPr>
          <w:rFonts w:ascii="Times New Roman" w:cs="Times New Roman" w:eastAsia="Times New Roman" w:hAnsi="Times New Roman"/>
          <w:sz w:val="20"/>
          <w:szCs w:val="20"/>
          <w:u w:val="single" w:color="auto"/>
          <w:color w:val="auto"/>
        </w:rPr>
        <w:t>Section 2.05(a)(xi)</w:t>
      </w:r>
      <w:r>
        <w:rPr>
          <w:rFonts w:ascii="Times New Roman" w:cs="Times New Roman" w:eastAsia="Times New Roman" w:hAnsi="Times New Roman"/>
          <w:sz w:val="20"/>
          <w:szCs w:val="20"/>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540" w:right="20" w:firstLine="472"/>
        <w:spacing w:after="0" w:line="254" w:lineRule="auto"/>
        <w:tabs>
          <w:tab w:leader="none" w:pos="148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a Revolving Lender funds its Revolving Loan or LC Advance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to reimburse the applicable Issuing Bank for any LC Disbursement, interest in respect of such Revolving Lender’s Applicable Percentage of such amount shall be solely for the account of the applicable Issuing Bank.</w:t>
      </w:r>
    </w:p>
    <w:p>
      <w:pPr>
        <w:spacing w:after="0" w:line="174" w:lineRule="exact"/>
        <w:rPr>
          <w:rFonts w:ascii="Times New Roman" w:cs="Times New Roman" w:eastAsia="Times New Roman" w:hAnsi="Times New Roman"/>
          <w:sz w:val="20"/>
          <w:szCs w:val="20"/>
          <w:color w:val="auto"/>
        </w:rPr>
      </w:pPr>
    </w:p>
    <w:p>
      <w:pPr>
        <w:jc w:val="both"/>
        <w:ind w:left="540" w:right="20" w:firstLine="472"/>
        <w:spacing w:after="0" w:line="260" w:lineRule="auto"/>
        <w:tabs>
          <w:tab w:leader="none" w:pos="1451"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Revolving Lender’s obligation to make Revolving Loans or LC Advances to reimburse the applicable Issuing Bank for LC Disbursements that are not reimbursed by the Borrower as set forth herein, as contemplated by this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 shall be absolute and unconditional and shall not be affected by any circumstance, including</w:t>
      </w:r>
    </w:p>
    <w:p>
      <w:pPr>
        <w:jc w:val="both"/>
        <w:ind w:left="540" w:hanging="2"/>
        <w:spacing w:after="0" w:line="239" w:lineRule="auto"/>
        <w:tabs>
          <w:tab w:leader="none" w:pos="89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counterclaim, recoupment, defense or other right which such Lender may have against any Issuing Bank, the Borrower or any other Person for any reason whatsoever; (B) the occurrence or continuance of a Default; or</w:t>
      </w:r>
    </w:p>
    <w:p>
      <w:pPr>
        <w:ind w:left="540" w:right="20" w:hanging="2"/>
        <w:spacing w:after="0" w:line="246" w:lineRule="auto"/>
        <w:tabs>
          <w:tab w:leader="none" w:pos="89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occurrence, event or condition, whether or not similar to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Revolving Lender’s obligation to make Revolving Loans pursuant to this</w:t>
      </w:r>
    </w:p>
    <w:p>
      <w:pPr>
        <w:spacing w:after="0" w:line="11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020"/>
          </w:cols>
          <w:pgMar w:left="1440" w:top="265" w:right="439" w:bottom="1440" w:gutter="0" w:footer="0" w:header="0"/>
        </w:sectPr>
      </w:pPr>
    </w:p>
    <w:bookmarkStart w:id="77" w:name="page78"/>
    <w:bookmarkEnd w:id="77"/>
    <w:p>
      <w:pPr>
        <w:jc w:val="both"/>
        <w:ind w:left="100" w:right="20"/>
        <w:spacing w:after="0" w:line="249" w:lineRule="auto"/>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2.05(a)</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spacing w:after="0" w:line="180" w:lineRule="exact"/>
        <w:rPr>
          <w:sz w:val="20"/>
          <w:szCs w:val="20"/>
          <w:color w:val="auto"/>
        </w:rPr>
      </w:pPr>
    </w:p>
    <w:p>
      <w:pPr>
        <w:jc w:val="both"/>
        <w:ind w:left="100" w:firstLine="493"/>
        <w:spacing w:after="0" w:line="243" w:lineRule="auto"/>
        <w:tabs>
          <w:tab w:leader="none" w:pos="98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an Issuing Bank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2.05(a)(xi)</w:t>
      </w:r>
      <w:r>
        <w:rPr>
          <w:rFonts w:ascii="Times New Roman" w:cs="Times New Roman" w:eastAsia="Times New Roman" w:hAnsi="Times New Roman"/>
          <w:sz w:val="20"/>
          <w:szCs w:val="20"/>
          <w:color w:val="auto"/>
        </w:rPr>
        <w:t xml:space="preserve">,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administrative, processing or similar fees customarily charged by such Issuing Bank in connection with the foregoing. A certificate of an Issuing Bank submitted to any Revolving Lender (through the Administrative Agent) with respect to any amounts owing under this </w:t>
      </w:r>
      <w:r>
        <w:rPr>
          <w:rFonts w:ascii="Times New Roman" w:cs="Times New Roman" w:eastAsia="Times New Roman" w:hAnsi="Times New Roman"/>
          <w:sz w:val="20"/>
          <w:szCs w:val="20"/>
          <w:u w:val="single" w:color="auto"/>
          <w:color w:val="auto"/>
        </w:rPr>
        <w:t>Section 2.05(a)(xv)</w:t>
      </w:r>
      <w:r>
        <w:rPr>
          <w:rFonts w:ascii="Times New Roman" w:cs="Times New Roman" w:eastAsia="Times New Roman" w:hAnsi="Times New Roman"/>
          <w:sz w:val="20"/>
          <w:szCs w:val="20"/>
          <w:color w:val="auto"/>
        </w:rPr>
        <w:t xml:space="preserve"> shall be conclusive absent manifest error.</w:t>
      </w:r>
    </w:p>
    <w:p>
      <w:pPr>
        <w:spacing w:after="0" w:line="185" w:lineRule="exact"/>
        <w:rPr>
          <w:rFonts w:ascii="Times New Roman" w:cs="Times New Roman" w:eastAsia="Times New Roman" w:hAnsi="Times New Roman"/>
          <w:sz w:val="20"/>
          <w:szCs w:val="20"/>
          <w:color w:val="auto"/>
        </w:rPr>
      </w:pPr>
    </w:p>
    <w:p>
      <w:pPr>
        <w:jc w:val="both"/>
        <w:ind w:left="100" w:firstLine="493"/>
        <w:spacing w:after="0" w:line="245" w:lineRule="auto"/>
        <w:tabs>
          <w:tab w:leader="none" w:pos="106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Revolving Lender becomes a Defaulting Lender following the issuance of any Letter of Credit, the Borrower will promptly deposit Cash Collateral with the Administrative Agent in an amount equal to such Defaulting Lender’s Applicable Percentage of each outstanding Letter of Credit which Cash Collateral shall be held by the Administrative Agent to secure such Defaulting Lender’s obligations to participate in such Letter of Credit (and, if any Cash Collateral remains following the return or expiration of such Letter of Credit, shall be returned to the Borrower promptly following such return or expiration).</w:t>
      </w:r>
    </w:p>
    <w:p>
      <w:pPr>
        <w:spacing w:after="0" w:line="184" w:lineRule="exact"/>
        <w:rPr>
          <w:rFonts w:ascii="Times New Roman" w:cs="Times New Roman" w:eastAsia="Times New Roman" w:hAnsi="Times New Roman"/>
          <w:sz w:val="20"/>
          <w:szCs w:val="20"/>
          <w:color w:val="auto"/>
        </w:rPr>
      </w:pPr>
    </w:p>
    <w:p>
      <w:pPr>
        <w:ind w:left="360" w:hanging="290"/>
        <w:spacing w:after="0"/>
        <w:tabs>
          <w:tab w:leader="none" w:pos="36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p>
    <w:p>
      <w:pPr>
        <w:spacing w:after="0" w:line="215" w:lineRule="exact"/>
        <w:rPr>
          <w:rFonts w:ascii="Times New Roman" w:cs="Times New Roman" w:eastAsia="Times New Roman" w:hAnsi="Times New Roman"/>
          <w:sz w:val="20"/>
          <w:szCs w:val="20"/>
          <w:color w:val="auto"/>
        </w:rPr>
      </w:pPr>
    </w:p>
    <w:p>
      <w:pPr>
        <w:jc w:val="both"/>
        <w:ind w:left="100" w:firstLine="493"/>
        <w:spacing w:after="0" w:line="244" w:lineRule="auto"/>
        <w:tabs>
          <w:tab w:leader="none" w:pos="85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after an Issuing Bank has made a payment under any Letter of Credit and has received from any Revolving Lender such Lender’s LC Advance in respect of such payment in accordance with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185" w:lineRule="exact"/>
        <w:rPr>
          <w:rFonts w:ascii="Times New Roman" w:cs="Times New Roman" w:eastAsia="Times New Roman" w:hAnsi="Times New Roman"/>
          <w:sz w:val="20"/>
          <w:szCs w:val="20"/>
          <w:color w:val="auto"/>
        </w:rPr>
      </w:pPr>
    </w:p>
    <w:p>
      <w:pPr>
        <w:jc w:val="both"/>
        <w:ind w:left="100" w:firstLine="493"/>
        <w:spacing w:after="0" w:line="245" w:lineRule="auto"/>
        <w:tabs>
          <w:tab w:leader="none" w:pos="950"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an Issuing Bank pursuant to </w:t>
      </w:r>
      <w:r>
        <w:rPr>
          <w:rFonts w:ascii="Times New Roman" w:cs="Times New Roman" w:eastAsia="Times New Roman" w:hAnsi="Times New Roman"/>
          <w:sz w:val="20"/>
          <w:szCs w:val="20"/>
          <w:u w:val="single" w:color="auto"/>
          <w:color w:val="auto"/>
        </w:rPr>
        <w:t>Section 2.05(a)(x)</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(including pursuant to any settlement entered into by such Issuing Bank in its discretion), each Revolving Lender shall pay to the Administrative Agent for the account of such Issuing Bank its Applicable Percentage thereof on demand of the Administrative Agent,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interest thereon from the date of such demand to the date such amount is returned by such Lender, at a rate per annum equal to the applicable Overnight Rate from time to time in effect. The obligations of the</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020"/>
          </w:cols>
          <w:pgMar w:left="1440" w:top="265" w:right="439" w:bottom="1440" w:gutter="0" w:footer="0" w:header="0"/>
        </w:sectPr>
      </w:pPr>
    </w:p>
    <w:bookmarkStart w:id="78" w:name="page79"/>
    <w:bookmarkEnd w:id="78"/>
    <w:p>
      <w:pPr>
        <w:ind w:left="560"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Revolving Lenders under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xml:space="preserve"> shall survive the payment in full of the Obligations and the termination of this Agreement.</w:t>
      </w:r>
    </w:p>
    <w:p>
      <w:pPr>
        <w:spacing w:after="0" w:line="159" w:lineRule="exact"/>
        <w:rPr>
          <w:sz w:val="20"/>
          <w:szCs w:val="20"/>
          <w:color w:val="auto"/>
        </w:rPr>
      </w:pPr>
    </w:p>
    <w:p>
      <w:pPr>
        <w:jc w:val="both"/>
        <w:ind w:right="20" w:firstLine="530"/>
        <w:spacing w:after="0" w:line="254" w:lineRule="auto"/>
        <w:tabs>
          <w:tab w:leader="none" w:pos="7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spacing w:after="0" w:line="174" w:lineRule="exact"/>
        <w:rPr>
          <w:rFonts w:ascii="Times New Roman" w:cs="Times New Roman" w:eastAsia="Times New Roman" w:hAnsi="Times New Roman"/>
          <w:sz w:val="20"/>
          <w:szCs w:val="20"/>
          <w:color w:val="auto"/>
        </w:rPr>
      </w:pPr>
    </w:p>
    <w:p>
      <w:pPr>
        <w:ind w:left="1280" w:hanging="227"/>
        <w:spacing w:after="0"/>
        <w:tabs>
          <w:tab w:leader="none" w:pos="1280"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5" w:lineRule="exact"/>
        <w:rPr>
          <w:rFonts w:ascii="Times New Roman" w:cs="Times New Roman" w:eastAsia="Times New Roman" w:hAnsi="Times New Roman"/>
          <w:sz w:val="20"/>
          <w:szCs w:val="20"/>
          <w:color w:val="auto"/>
        </w:rPr>
      </w:pPr>
    </w:p>
    <w:p>
      <w:pPr>
        <w:jc w:val="both"/>
        <w:ind w:left="560" w:right="20" w:firstLine="493"/>
        <w:spacing w:after="0" w:line="246" w:lineRule="auto"/>
        <w:tabs>
          <w:tab w:leader="none" w:pos="136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spacing w:after="0" w:line="184" w:lineRule="exact"/>
        <w:rPr>
          <w:rFonts w:ascii="Times New Roman" w:cs="Times New Roman" w:eastAsia="Times New Roman" w:hAnsi="Times New Roman"/>
          <w:sz w:val="20"/>
          <w:szCs w:val="20"/>
          <w:color w:val="auto"/>
        </w:rPr>
      </w:pPr>
    </w:p>
    <w:p>
      <w:pPr>
        <w:jc w:val="both"/>
        <w:ind w:left="560" w:right="20" w:firstLine="493"/>
        <w:spacing w:after="0" w:line="249" w:lineRule="auto"/>
        <w:tabs>
          <w:tab w:leader="none" w:pos="143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9" w:lineRule="exact"/>
        <w:rPr>
          <w:rFonts w:ascii="Times New Roman" w:cs="Times New Roman" w:eastAsia="Times New Roman" w:hAnsi="Times New Roman"/>
          <w:sz w:val="20"/>
          <w:szCs w:val="20"/>
          <w:color w:val="auto"/>
        </w:rPr>
      </w:pPr>
    </w:p>
    <w:p>
      <w:pPr>
        <w:jc w:val="both"/>
        <w:ind w:left="560" w:firstLine="493"/>
        <w:spacing w:after="0" w:line="246" w:lineRule="auto"/>
        <w:tabs>
          <w:tab w:leader="none" w:pos="1395"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w:t>
      </w:r>
    </w:p>
    <w:p>
      <w:pPr>
        <w:spacing w:after="0" w:line="184" w:lineRule="exact"/>
        <w:rPr>
          <w:rFonts w:ascii="Times New Roman" w:cs="Times New Roman" w:eastAsia="Times New Roman" w:hAnsi="Times New Roman"/>
          <w:sz w:val="20"/>
          <w:szCs w:val="20"/>
          <w:color w:val="auto"/>
        </w:rPr>
      </w:pPr>
    </w:p>
    <w:p>
      <w:pPr>
        <w:ind w:left="560" w:right="20" w:firstLine="493"/>
        <w:spacing w:after="0" w:line="269" w:lineRule="auto"/>
        <w:tabs>
          <w:tab w:leader="none" w:pos="1342"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relevant exchange rates or in the availability of the relevant Alternative Currency to the Borrower or any Subsidiary or in the relevant currency markets generally; or</w:t>
      </w:r>
    </w:p>
    <w:p>
      <w:pPr>
        <w:spacing w:after="0" w:line="159" w:lineRule="exact"/>
        <w:rPr>
          <w:rFonts w:ascii="Times New Roman" w:cs="Times New Roman" w:eastAsia="Times New Roman" w:hAnsi="Times New Roman"/>
          <w:sz w:val="20"/>
          <w:szCs w:val="20"/>
          <w:color w:val="auto"/>
        </w:rPr>
      </w:pPr>
    </w:p>
    <w:p>
      <w:pPr>
        <w:ind w:left="560" w:right="20" w:firstLine="493"/>
        <w:spacing w:after="0" w:line="269" w:lineRule="auto"/>
        <w:tabs>
          <w:tab w:leader="none" w:pos="140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Borrower;</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foregoing shall not excuse any Issuing Bank from liability to the Borrower to the extent of any direct damages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spacing w:after="0" w:line="184" w:lineRule="exact"/>
        <w:rPr>
          <w:sz w:val="20"/>
          <w:szCs w:val="20"/>
          <w:color w:val="auto"/>
        </w:rPr>
      </w:pPr>
    </w:p>
    <w:p>
      <w:pPr>
        <w:ind w:firstLine="530"/>
        <w:spacing w:after="0" w:line="269" w:lineRule="auto"/>
        <w:tabs>
          <w:tab w:leader="none" w:pos="82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the Lenders nor any Issuing Bank, nor any of their Related Parties, shall have any liability or responsibility by reason of or in connection with</w:t>
      </w:r>
    </w:p>
    <w:p>
      <w:pPr>
        <w:spacing w:after="0" w:line="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480"/>
          </w:cols>
          <w:pgMar w:left="980" w:top="265" w:right="439" w:bottom="1440" w:gutter="0" w:footer="0" w:header="0"/>
        </w:sectPr>
      </w:pPr>
    </w:p>
    <w:bookmarkStart w:id="79" w:name="page80"/>
    <w:bookmarkEnd w:id="79"/>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3" w:lineRule="exact"/>
        <w:rPr>
          <w:sz w:val="20"/>
          <w:szCs w:val="20"/>
          <w:color w:val="auto"/>
        </w:rPr>
      </w:pPr>
    </w:p>
    <w:p>
      <w:pPr>
        <w:jc w:val="both"/>
        <w:ind w:firstLine="530"/>
        <w:spacing w:after="0" w:line="241" w:lineRule="auto"/>
        <w:tabs>
          <w:tab w:leader="none" w:pos="79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Event of Default occurs and is continuing and the Required Lenders require the Borrower to Cash Collateralize the LC Exposure or (ii) an Event of Default pursuant to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the Business Day on which an Event of Default set forth under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occurs or, if such day is not a Business Day, the Business Day immediately succeeding such day. For purposes hereof, “</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the applicable Issuing Bank and the Revolving Lenders, as collateral for the LC Exposure, cash or deposit account balances (“</w:t>
      </w:r>
      <w:r>
        <w:rPr>
          <w:rFonts w:ascii="Times New Roman" w:cs="Times New Roman" w:eastAsia="Times New Roman" w:hAnsi="Times New Roman"/>
          <w:sz w:val="20"/>
          <w:szCs w:val="20"/>
          <w:u w:val="single" w:color="auto"/>
          <w:color w:val="auto"/>
        </w:rPr>
        <w:t>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pursuant to documentation in form and substance reasonably satisfactory to the Administrative Agent and the applicable Issuing Bank (which documents are hereby consented to by the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Requirements of Law, to reimburse the applicable Issuing Bank. To the extent the amount of any Cash Collateral exceeds the then</w:t>
      </w:r>
    </w:p>
    <w:p>
      <w:pPr>
        <w:spacing w:after="0" w:line="12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480"/>
          </w:cols>
          <w:pgMar w:left="980" w:top="265" w:right="439" w:bottom="1440" w:gutter="0" w:footer="0" w:header="0"/>
        </w:sectPr>
      </w:pPr>
    </w:p>
    <w:bookmarkStart w:id="80" w:name="page81"/>
    <w:bookmarkEnd w:id="80"/>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Amount of such LC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spacing w:after="0" w:line="185" w:lineRule="exact"/>
        <w:rPr>
          <w:sz w:val="20"/>
          <w:szCs w:val="20"/>
          <w:color w:val="auto"/>
        </w:rPr>
      </w:pPr>
    </w:p>
    <w:p>
      <w:pPr>
        <w:ind w:right="20" w:firstLine="530"/>
        <w:spacing w:after="0" w:line="269" w:lineRule="auto"/>
        <w:tabs>
          <w:tab w:leader="none" w:pos="77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w:t>
      </w:r>
      <w:r>
        <w:rPr>
          <w:rFonts w:ascii="Times New Roman" w:cs="Times New Roman" w:eastAsia="Times New Roman" w:hAnsi="Times New Roman"/>
          <w:sz w:val="20"/>
          <w:szCs w:val="20"/>
          <w:color w:val="auto"/>
        </w:rPr>
        <w:t>. Unless otherwise expressly agreed by the relevant Issuing Bank and the Borrower when a Letter of Credit is issued, the rules of the ISP shall apply to each Letter of Credit.</w:t>
      </w:r>
    </w:p>
    <w:p>
      <w:pPr>
        <w:spacing w:after="0" w:line="159" w:lineRule="exact"/>
        <w:rPr>
          <w:rFonts w:ascii="Times New Roman" w:cs="Times New Roman" w:eastAsia="Times New Roman" w:hAnsi="Times New Roman"/>
          <w:sz w:val="20"/>
          <w:szCs w:val="20"/>
          <w:color w:val="auto"/>
        </w:rPr>
      </w:pPr>
    </w:p>
    <w:p>
      <w:pPr>
        <w:jc w:val="both"/>
        <w:ind w:firstLine="530"/>
        <w:spacing w:after="0" w:line="254" w:lineRule="auto"/>
        <w:tabs>
          <w:tab w:leader="none" w:pos="8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Letter of Credit Application</w:t>
      </w:r>
      <w:r>
        <w:rPr>
          <w:rFonts w:ascii="Times New Roman" w:cs="Times New Roman" w:eastAsia="Times New Roman" w:hAnsi="Times New Roman"/>
          <w:sz w:val="20"/>
          <w:szCs w:val="20"/>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174" w:lineRule="exact"/>
        <w:rPr>
          <w:rFonts w:ascii="Times New Roman" w:cs="Times New Roman" w:eastAsia="Times New Roman" w:hAnsi="Times New Roman"/>
          <w:sz w:val="20"/>
          <w:szCs w:val="20"/>
          <w:color w:val="auto"/>
        </w:rPr>
      </w:pPr>
    </w:p>
    <w:p>
      <w:pPr>
        <w:jc w:val="both"/>
        <w:ind w:firstLine="530"/>
        <w:spacing w:after="0" w:line="246" w:lineRule="auto"/>
        <w:tabs>
          <w:tab w:leader="none" w:pos="81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4" w:lineRule="exact"/>
        <w:rPr>
          <w:rFonts w:ascii="Times New Roman" w:cs="Times New Roman" w:eastAsia="Times New Roman" w:hAnsi="Times New Roman"/>
          <w:sz w:val="20"/>
          <w:szCs w:val="20"/>
          <w:color w:val="auto"/>
        </w:rPr>
      </w:pPr>
    </w:p>
    <w:p>
      <w:pPr>
        <w:jc w:val="both"/>
        <w:ind w:right="20" w:firstLine="530"/>
        <w:spacing w:after="0" w:line="249" w:lineRule="auto"/>
        <w:tabs>
          <w:tab w:leader="none" w:pos="78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 of an Issuing Bank</w:t>
      </w:r>
      <w:r>
        <w:rPr>
          <w:rFonts w:ascii="Times New Roman" w:cs="Times New Roman" w:eastAsia="Times New Roman" w:hAnsi="Times New Roman"/>
          <w:sz w:val="20"/>
          <w:szCs w:val="20"/>
          <w:color w:val="auto"/>
        </w:rPr>
        <w:t>.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Termination and Reduction of Commitments.</w:t>
      </w:r>
    </w:p>
    <w:p>
      <w:pPr>
        <w:spacing w:after="0" w:line="216" w:lineRule="exact"/>
        <w:rPr>
          <w:sz w:val="20"/>
          <w:szCs w:val="20"/>
          <w:color w:val="auto"/>
        </w:rPr>
      </w:pPr>
    </w:p>
    <w:p>
      <w:pPr>
        <w:ind w:left="800" w:hanging="270"/>
        <w:spacing w:after="0"/>
        <w:tabs>
          <w:tab w:leader="none" w:pos="8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previously terminated, the Revolving Commitments shall terminate on the Maturity Date.</w:t>
      </w:r>
    </w:p>
    <w:p>
      <w:pPr>
        <w:spacing w:after="0" w:line="211" w:lineRule="exact"/>
        <w:rPr>
          <w:rFonts w:ascii="Times New Roman" w:cs="Times New Roman" w:eastAsia="Times New Roman" w:hAnsi="Times New Roman"/>
          <w:sz w:val="20"/>
          <w:szCs w:val="20"/>
          <w:color w:val="auto"/>
        </w:rPr>
      </w:pPr>
    </w:p>
    <w:p>
      <w:pPr>
        <w:ind w:left="840" w:hanging="310"/>
        <w:spacing w:after="0"/>
        <w:tabs>
          <w:tab w:leader="none" w:pos="84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5" w:lineRule="exact"/>
        <w:rPr>
          <w:rFonts w:ascii="Times New Roman" w:cs="Times New Roman" w:eastAsia="Times New Roman" w:hAnsi="Times New Roman"/>
          <w:sz w:val="20"/>
          <w:szCs w:val="20"/>
          <w:color w:val="auto"/>
        </w:rPr>
      </w:pPr>
    </w:p>
    <w:p>
      <w:pPr>
        <w:jc w:val="both"/>
        <w:ind w:firstLine="7"/>
        <w:spacing w:after="0"/>
        <w:tabs>
          <w:tab w:leader="none" w:pos="24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reduction of the Revolving Commitments shall be in an amount that is an integral multiple of $1,000,000 and not less than $5,000,000 or if less, the entire remaining amount and (ii) the Borrower shall not terminate or reduce the Revolving Commitments if, after giving effect to any concurrent prepayment of the Revolving Loans in accordance with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the aggregate Revolving Exposures (excluding the portion of the Revolving Exposures attributable to outstanding Letters of Credit if and to the extent that the Borrower has made arrangements satisfactory to the Administrative Agent and each applicable Issuing Bank with respect to such Letters of Credit and each applicable Issuing Bank has released the Revolving Lenders from their participation obligations with respect to such Letters of Credit) would exceed the aggregate Revolving Commitments.</w:t>
      </w:r>
    </w:p>
    <w:p>
      <w:pPr>
        <w:spacing w:after="0" w:line="190" w:lineRule="exact"/>
        <w:rPr>
          <w:rFonts w:ascii="Times New Roman" w:cs="Times New Roman" w:eastAsia="Times New Roman" w:hAnsi="Times New Roman"/>
          <w:sz w:val="20"/>
          <w:szCs w:val="20"/>
          <w:color w:val="auto"/>
        </w:rPr>
      </w:pPr>
    </w:p>
    <w:p>
      <w:pPr>
        <w:jc w:val="both"/>
        <w:ind w:right="20" w:firstLine="530"/>
        <w:spacing w:after="0" w:line="254" w:lineRule="auto"/>
        <w:tabs>
          <w:tab w:leader="none" w:pos="803"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Revolving Commitments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at least three Business Days prior to the effective date of such termination or reduction, specifying such election and the</w:t>
      </w:r>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480"/>
          </w:cols>
          <w:pgMar w:left="980" w:top="265" w:right="439" w:bottom="1440" w:gutter="0" w:footer="0" w:header="0"/>
        </w:sectPr>
      </w:pPr>
    </w:p>
    <w:bookmarkStart w:id="81" w:name="page82"/>
    <w:bookmarkEnd w:id="81"/>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effective date thereof. Promptly following receipt of any such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notice of termination of the Revolving Commitments delivered by the Borrower may state that such notice is conditioned upon the effectiveness of other credit facilities or the receipt of proceeds from the issuance of other Indebtedness or other contingent transaction, in which case such notice may be revoked by the Borrower (by notice to the Administrative Agent on or prior to the specified effective date) if such condition or contingency is not satisfied. Any termination or reduction of the Revolving Commitments shall be permanent. Each reduction of the Revolving Commitments shall be made ratably among the Lenders in accordance with their respective Revolving Commitments.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2.07 </w:t>
      </w:r>
      <w:r>
        <w:rPr>
          <w:rFonts w:ascii="Times New Roman" w:cs="Times New Roman" w:eastAsia="Times New Roman" w:hAnsi="Times New Roman"/>
          <w:sz w:val="20"/>
          <w:szCs w:val="20"/>
          <w:u w:val="single" w:color="auto"/>
          <w:color w:val="auto"/>
        </w:rPr>
        <w:t>Repayment of Loans; Evidence of Debt.</w:t>
      </w:r>
    </w:p>
    <w:p>
      <w:pPr>
        <w:spacing w:after="0" w:line="216" w:lineRule="exact"/>
        <w:rPr>
          <w:sz w:val="20"/>
          <w:szCs w:val="20"/>
          <w:color w:val="auto"/>
        </w:rPr>
      </w:pPr>
    </w:p>
    <w:p>
      <w:pPr>
        <w:jc w:val="both"/>
        <w:ind w:right="20" w:firstLine="530"/>
        <w:spacing w:after="0" w:line="254" w:lineRule="auto"/>
        <w:tabs>
          <w:tab w:leader="none" w:pos="811"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spacing w:after="0" w:line="174" w:lineRule="exact"/>
        <w:rPr>
          <w:rFonts w:ascii="Times New Roman" w:cs="Times New Roman" w:eastAsia="Times New Roman" w:hAnsi="Times New Roman"/>
          <w:sz w:val="20"/>
          <w:szCs w:val="20"/>
          <w:color w:val="auto"/>
        </w:rPr>
      </w:pPr>
    </w:p>
    <w:p>
      <w:pPr>
        <w:jc w:val="both"/>
        <w:ind w:firstLine="530"/>
        <w:spacing w:after="0" w:line="254" w:lineRule="auto"/>
        <w:tabs>
          <w:tab w:leader="none" w:pos="81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4" w:lineRule="exact"/>
        <w:rPr>
          <w:rFonts w:ascii="Times New Roman" w:cs="Times New Roman" w:eastAsia="Times New Roman" w:hAnsi="Times New Roman"/>
          <w:sz w:val="20"/>
          <w:szCs w:val="20"/>
          <w:color w:val="auto"/>
        </w:rPr>
      </w:pPr>
    </w:p>
    <w:p>
      <w:pPr>
        <w:jc w:val="both"/>
        <w:ind w:right="20" w:firstLine="530"/>
        <w:spacing w:after="0" w:line="246" w:lineRule="auto"/>
        <w:tabs>
          <w:tab w:leader="none" w:pos="80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 non-fiduciary agent of the Borrower, shall maintain accounts in which it shall record (i) the amount of each Loan made hereunder, the currency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84" w:lineRule="exact"/>
        <w:rPr>
          <w:rFonts w:ascii="Times New Roman" w:cs="Times New Roman" w:eastAsia="Times New Roman" w:hAnsi="Times New Roman"/>
          <w:sz w:val="20"/>
          <w:szCs w:val="20"/>
          <w:color w:val="auto"/>
        </w:rPr>
      </w:pPr>
    </w:p>
    <w:p>
      <w:pPr>
        <w:jc w:val="both"/>
        <w:ind w:firstLine="530"/>
        <w:spacing w:after="0" w:line="249" w:lineRule="auto"/>
        <w:tabs>
          <w:tab w:leader="none" w:pos="815"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Absent manifest error, the entries made in the accounts maintained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179" w:lineRule="exact"/>
        <w:rPr>
          <w:rFonts w:ascii="Times New Roman" w:cs="Times New Roman" w:eastAsia="Times New Roman" w:hAnsi="Times New Roman"/>
          <w:sz w:val="20"/>
          <w:szCs w:val="20"/>
          <w:color w:val="auto"/>
        </w:rPr>
      </w:pPr>
    </w:p>
    <w:p>
      <w:pPr>
        <w:jc w:val="both"/>
        <w:ind w:firstLine="530"/>
        <w:spacing w:after="0" w:line="254" w:lineRule="auto"/>
        <w:tabs>
          <w:tab w:leader="none" w:pos="81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request that Loans made by it be evidenced by a promissory note. In such event, the Borrower shall prepare, execute and deliver to such Lender a promissory note payable to such Lender and its registered assigns and in a form approved by the Administrative Agent.</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[Reserved].</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Prepayment of Loans.</w:t>
      </w:r>
    </w:p>
    <w:p>
      <w:pPr>
        <w:spacing w:after="0" w:line="216" w:lineRule="exact"/>
        <w:rPr>
          <w:sz w:val="20"/>
          <w:szCs w:val="20"/>
          <w:color w:val="auto"/>
        </w:rPr>
      </w:pPr>
    </w:p>
    <w:p>
      <w:pPr>
        <w:ind w:firstLine="530"/>
        <w:spacing w:after="0" w:line="269" w:lineRule="auto"/>
        <w:tabs>
          <w:tab w:leader="none" w:pos="82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and from time to time to prepay any Borrowing under the Revolving Facility in whole or in part, subject to the requirements of this Section.</w:t>
      </w:r>
    </w:p>
    <w:p>
      <w:pPr>
        <w:spacing w:after="0" w:line="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480"/>
          </w:cols>
          <w:pgMar w:left="980" w:top="265" w:right="439" w:bottom="1440" w:gutter="0" w:footer="0" w:header="0"/>
        </w:sectPr>
      </w:pPr>
    </w:p>
    <w:bookmarkStart w:id="82" w:name="page83"/>
    <w:bookmarkEnd w:id="82"/>
    <w:p>
      <w:pPr>
        <w:jc w:val="both"/>
        <w:ind w:left="-460" w:firstLine="530"/>
        <w:spacing w:after="0" w:line="245" w:lineRule="auto"/>
        <w:tabs>
          <w:tab w:leader="none" w:pos="37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and on such occasion that the aggregate Revolving Exposures exceed 100% of the aggregate Revolving Commitments, the Borrower shall immediately prepay Revolving Loans (or, if no such Borrowings are outstanding, Cash Collateralize Letters of Credit pursuant to </w:t>
      </w:r>
      <w:r>
        <w:rPr>
          <w:rFonts w:ascii="Times New Roman" w:cs="Times New Roman" w:eastAsia="Times New Roman" w:hAnsi="Times New Roman"/>
          <w:sz w:val="20"/>
          <w:szCs w:val="20"/>
          <w:u w:val="single" w:color="auto"/>
          <w:color w:val="auto"/>
        </w:rPr>
        <w:t>Section 2.05(e)</w:t>
      </w:r>
      <w:r>
        <w:rPr>
          <w:rFonts w:ascii="Times New Roman" w:cs="Times New Roman" w:eastAsia="Times New Roman" w:hAnsi="Times New Roman"/>
          <w:sz w:val="20"/>
          <w:szCs w:val="20"/>
          <w:color w:val="auto"/>
        </w:rPr>
        <w:t xml:space="preserve">) in an aggregate amount equal to the amount by which such Revolving Exposures exceed the aggregate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excess results from fluctuations in the Dollar Equivalent of Loans denominated in Euros, Sterling or any other Alternative Currency and such excess is less than 5% of the Revolving Commitments, no such prepayment of Revolving Loans shall be required.</w:t>
      </w:r>
    </w:p>
    <w:p>
      <w:pPr>
        <w:spacing w:after="0" w:line="184" w:lineRule="exact"/>
        <w:rPr>
          <w:rFonts w:ascii="Times New Roman" w:cs="Times New Roman" w:eastAsia="Times New Roman" w:hAnsi="Times New Roman"/>
          <w:sz w:val="20"/>
          <w:szCs w:val="20"/>
          <w:color w:val="auto"/>
        </w:rPr>
      </w:pPr>
    </w:p>
    <w:p>
      <w:pPr>
        <w:jc w:val="both"/>
        <w:ind w:left="-460" w:firstLine="530"/>
        <w:spacing w:after="0" w:line="241" w:lineRule="auto"/>
        <w:tabs>
          <w:tab w:leader="none" w:pos="35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optional prepayment pursuant to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the Borrower shall notify the Administrative Agent by telephone (confirmed by any approved form of electronic communication or otherwise in writing) of any prepayment hereunder (i) in the case of prepayment of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Borrowing denominated in Dollars, not later than 1:00 p.m. (New York City time) three Business Days before the date of prepayment, (ii) in the case of prepayment of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Borrowing or EURIBOR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 denominated in an Alternative Currency, not later than 1:00 p.m. (New York City time)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four Business Days before the date of prepayment or (iii) in the case of prepayment of an ABR Borrowing, not later than 3:00 p.m. (New York City time) on the date of prepayment. Each such notice shall be irrevocable and shall specify the prepayment date and the principal amount of each Borrowing or Borrowings or portion thereof to be prepaid;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1:00 p.m. (New York City time) on the specified date) if such condition is not satisfied;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further</w:t>
      </w:r>
      <w:r>
        <w:rPr>
          <w:rFonts w:ascii="Times New Roman" w:cs="Times New Roman" w:eastAsia="Times New Roman" w:hAnsi="Times New Roman"/>
          <w:sz w:val="20"/>
          <w:szCs w:val="20"/>
          <w:color w:val="000000"/>
        </w:rPr>
        <w:t xml:space="preserve">,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000000"/>
        </w:rPr>
        <w:t>Section 2.03(a)</w:t>
      </w:r>
      <w:r>
        <w:rPr>
          <w:rFonts w:ascii="Times New Roman" w:cs="Times New Roman" w:eastAsia="Times New Roman" w:hAnsi="Times New Roman"/>
          <w:sz w:val="20"/>
          <w:szCs w:val="20"/>
          <w:color w:val="000000"/>
        </w:rPr>
        <w:t xml:space="preserve">, except as necessary to apply fully the required amount of a mandatory prepayment. Each prepayment of a Borrowing shall be applied ratably to the Loans included in the prepaid Borrowing; </w:t>
      </w:r>
      <w:r>
        <w:rPr>
          <w:rFonts w:ascii="Times New Roman" w:cs="Times New Roman" w:eastAsia="Times New Roman" w:hAnsi="Times New Roman"/>
          <w:sz w:val="20"/>
          <w:szCs w:val="20"/>
          <w:i w:val="1"/>
          <w:iCs w:val="1"/>
          <w:color w:val="000000"/>
        </w:rPr>
        <w:t>provided</w:t>
      </w:r>
      <w:r>
        <w:rPr>
          <w:rFonts w:ascii="Times New Roman" w:cs="Times New Roman" w:eastAsia="Times New Roman" w:hAnsi="Times New Roman"/>
          <w:sz w:val="20"/>
          <w:szCs w:val="20"/>
          <w:color w:val="000000"/>
        </w:rPr>
        <w:t xml:space="preserve"> that during the continuance of an Event of Default, each prepayment shall be applied pro rata. Prepayments shall be accompanied by accrued interest to the extent required by </w:t>
      </w:r>
      <w:r>
        <w:rPr>
          <w:rFonts w:ascii="Times New Roman" w:cs="Times New Roman" w:eastAsia="Times New Roman" w:hAnsi="Times New Roman"/>
          <w:sz w:val="20"/>
          <w:szCs w:val="20"/>
          <w:u w:val="single" w:color="auto"/>
          <w:color w:val="000000"/>
        </w:rPr>
        <w:t>Section 2.11</w:t>
      </w:r>
      <w:r>
        <w:rPr>
          <w:rFonts w:ascii="Times New Roman" w:cs="Times New Roman" w:eastAsia="Times New Roman" w:hAnsi="Times New Roman"/>
          <w:sz w:val="20"/>
          <w:szCs w:val="20"/>
          <w:color w:val="000000"/>
        </w:rPr>
        <w:t>, except in the case of partial prepayment of ABR Loans, which interest shall be payable on the next scheduled interest payment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Fees.</w:t>
      </w:r>
    </w:p>
    <w:p>
      <w:pPr>
        <w:spacing w:after="0" w:line="216" w:lineRule="exact"/>
        <w:rPr>
          <w:sz w:val="20"/>
          <w:szCs w:val="20"/>
          <w:color w:val="auto"/>
        </w:rPr>
      </w:pPr>
    </w:p>
    <w:p>
      <w:pPr>
        <w:jc w:val="both"/>
        <w:ind w:left="-460" w:firstLine="530"/>
        <w:spacing w:after="0" w:line="243" w:lineRule="auto"/>
        <w:tabs>
          <w:tab w:leader="none" w:pos="336"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to the Administrative Agent, for the account of each Revolving Lender, a commitment fee in Dollars equal to 0.25% per annum times the actual daily amount by which the aggregate Revolving Commitments exceed the sum of (A) the Outstanding Amount of Revolving Loans and (B) the Outstanding Amount of L/C Exposure;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commitment fee accrued with respect to any of the Revolving Commitments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commitment fee shall accrue on any of the Revolving Commitments of a Defaulting Lender so long as such Lender shall be a Defaulting Lender. The commitment fee shall accrue at all times from the Closing Date until the Maturity Date and shall be due and payable quarterly in arrears on the last Business Day of each</w:t>
      </w:r>
    </w:p>
    <w:p>
      <w:pPr>
        <w:spacing w:after="0" w:line="1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020"/>
          </w:cols>
          <w:pgMar w:left="1440" w:top="265" w:right="439" w:bottom="1440" w:gutter="0" w:footer="0" w:header="0"/>
        </w:sectPr>
      </w:pPr>
    </w:p>
    <w:bookmarkStart w:id="83" w:name="page84"/>
    <w:bookmarkEnd w:id="83"/>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June, September and December, commencing June 30, 2019, and on the Maturity Date. The commitment fee shall be computed on the basis of a year of 360 days and shall be payable for the actual number of days elapsed (including the first day but excluding the last day).</w:t>
      </w:r>
    </w:p>
    <w:p>
      <w:pPr>
        <w:spacing w:after="0" w:line="174" w:lineRule="exact"/>
        <w:rPr>
          <w:sz w:val="20"/>
          <w:szCs w:val="20"/>
          <w:color w:val="auto"/>
        </w:rPr>
      </w:pPr>
    </w:p>
    <w:p>
      <w:pPr>
        <w:jc w:val="both"/>
        <w:ind w:firstLine="530"/>
        <w:spacing w:after="0" w:line="241" w:lineRule="auto"/>
        <w:tabs>
          <w:tab w:leader="none" w:pos="80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w:t>
      </w:r>
      <w:r>
        <w:rPr>
          <w:rFonts w:ascii="Times New Roman" w:cs="Times New Roman" w:eastAsia="Times New Roman" w:hAnsi="Times New Roman"/>
          <w:sz w:val="20"/>
          <w:szCs w:val="20"/>
          <w:color w:val="FF0000"/>
          <w:strike w:val="1"/>
        </w:rPr>
        <w:t>Eurocurrency Revolving</w:t>
      </w:r>
      <w:r>
        <w:rPr>
          <w:rFonts w:ascii="Times New Roman" w:cs="Times New Roman" w:eastAsia="Times New Roman" w:hAnsi="Times New Roman"/>
          <w:sz w:val="20"/>
          <w:szCs w:val="20"/>
          <w:u w:val="single" w:color="auto"/>
          <w:color w:val="0000FF"/>
        </w:rPr>
        <w:t>RFR Loans or EURIBOR Rate</w:t>
      </w:r>
      <w:r>
        <w:rPr>
          <w:rFonts w:ascii="Times New Roman" w:cs="Times New Roman" w:eastAsia="Times New Roman" w:hAnsi="Times New Roman"/>
          <w:sz w:val="20"/>
          <w:szCs w:val="20"/>
          <w:color w:val="auto"/>
        </w:rPr>
        <w:t xml:space="preserve"> Loans on the actual daily Outstanding Amount of such Lender’s LC Exposure (excluding any portion thereof attributable to unreimbursed LC Disbursements or LC Borrowings) during the period from and including the Closing Date to but excluding the later of the date on which such Lender’s Revolving Commitment terminates and the date on which such Lender ceases to have any LC Exposure;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fee shall accrue on the LC Exposure of a Defaulting Lender during any period that it is a Defaulting Lender, and (ii) to each applicable Issuing Bank a fronting fee in Dollars, which shall accrue at a rate per annum equal to 0.125%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Participation fees and fronting fees shall accrue at all times from the Closing Date until the Maturity Date and shall be due and payable quarterly in arrears on the last Business Day of each March, June, September and December, commencing June 30, 2019, and on the Maturity Date. Any other fees payable to any Issuing Bank pursuant to this paragraph shall be payable within ten Business Days after demand. All participation fees and fronting fees shall be computed on the basis of a year of 360 days and shall be payable for the actual number of days elapsed (including the first day but excluding the last day).</w:t>
      </w:r>
    </w:p>
    <w:p>
      <w:pPr>
        <w:spacing w:after="0" w:line="190" w:lineRule="exact"/>
        <w:rPr>
          <w:rFonts w:ascii="Times New Roman" w:cs="Times New Roman" w:eastAsia="Times New Roman" w:hAnsi="Times New Roman"/>
          <w:sz w:val="20"/>
          <w:szCs w:val="20"/>
          <w:color w:val="auto"/>
        </w:rPr>
      </w:pPr>
    </w:p>
    <w:p>
      <w:pPr>
        <w:ind w:right="20" w:firstLine="530"/>
        <w:spacing w:after="0" w:line="269" w:lineRule="auto"/>
        <w:tabs>
          <w:tab w:leader="none" w:pos="81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for its own account, fees payable in the amounts and at the times separately agreed upon between the Borrower and the Administrative Agent.</w:t>
      </w:r>
    </w:p>
    <w:p>
      <w:pPr>
        <w:spacing w:after="0" w:line="159" w:lineRule="exact"/>
        <w:rPr>
          <w:rFonts w:ascii="Times New Roman" w:cs="Times New Roman" w:eastAsia="Times New Roman" w:hAnsi="Times New Roman"/>
          <w:sz w:val="20"/>
          <w:szCs w:val="20"/>
          <w:color w:val="auto"/>
        </w:rPr>
      </w:pPr>
    </w:p>
    <w:p>
      <w:pPr>
        <w:jc w:val="both"/>
        <w:ind w:firstLine="530"/>
        <w:spacing w:after="0" w:line="249" w:lineRule="auto"/>
        <w:tabs>
          <w:tab w:leader="none" w:pos="80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and participation fees, to the Lenders entitled thereto. Fees paid shall not be refundable under any circumstances, absent manifest error.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Interest.</w:t>
      </w:r>
    </w:p>
    <w:p>
      <w:pPr>
        <w:spacing w:after="0" w:line="212" w:lineRule="exact"/>
        <w:rPr>
          <w:sz w:val="20"/>
          <w:szCs w:val="20"/>
          <w:color w:val="auto"/>
        </w:rPr>
      </w:pPr>
    </w:p>
    <w:p>
      <w:pPr>
        <w:ind w:left="800" w:hanging="270"/>
        <w:spacing w:after="0"/>
        <w:tabs>
          <w:tab w:leader="none" w:pos="80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ABR Borrowing shall bear interest at the Base Rate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Applicable Rate.</w:t>
      </w:r>
    </w:p>
    <w:p>
      <w:pPr>
        <w:spacing w:after="0" w:line="219" w:lineRule="exact"/>
        <w:rPr>
          <w:rFonts w:ascii="Times New Roman" w:cs="Times New Roman" w:eastAsia="Times New Roman" w:hAnsi="Times New Roman"/>
          <w:sz w:val="20"/>
          <w:szCs w:val="20"/>
          <w:color w:val="auto"/>
        </w:rPr>
      </w:pPr>
    </w:p>
    <w:p>
      <w:pPr>
        <w:jc w:val="both"/>
        <w:ind w:firstLine="530"/>
        <w:spacing w:after="0" w:line="249" w:lineRule="auto"/>
        <w:tabs>
          <w:tab w:leader="none" w:pos="81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w:t>
      </w:r>
      <w:r>
        <w:rPr>
          <w:rFonts w:ascii="Times New Roman" w:cs="Times New Roman" w:eastAsia="Times New Roman" w:hAnsi="Times New Roman"/>
          <w:sz w:val="20"/>
          <w:szCs w:val="20"/>
          <w:color w:val="FF0000"/>
          <w:strike w:val="1"/>
        </w:rPr>
        <w:t>each Eurocurrency</w:t>
      </w:r>
      <w:r>
        <w:rPr>
          <w:rFonts w:ascii="Times New Roman" w:cs="Times New Roman" w:eastAsia="Times New Roman" w:hAnsi="Times New Roman"/>
          <w:sz w:val="20"/>
          <w:szCs w:val="20"/>
          <w:u w:val="single" w:color="auto"/>
          <w:color w:val="0000FF"/>
        </w:rPr>
        <w:t>(i) each Daily Simple RFR Borrowing shall bear interest at the Adjusted Daily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 xml:space="preserve">Simple RFR for the Interest Period in effect for such Borrowing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u w:val="single" w:color="auto"/>
          <w:color w:val="0000FF"/>
        </w:rPr>
        <w:t xml:space="preserve"> the Applicable Rate, (ii) each Term SOFR Borrowing shall bear interest at the Adjusted Term SOFR for the Interest Period in effect for such Borrowing </w:t>
      </w:r>
      <w:r>
        <w:rPr>
          <w:rFonts w:ascii="Times New Roman" w:cs="Times New Roman" w:eastAsia="Times New Roman" w:hAnsi="Times New Roman"/>
          <w:sz w:val="20"/>
          <w:szCs w:val="20"/>
          <w:i w:val="1"/>
          <w:iCs w:val="1"/>
          <w:u w:val="single" w:color="auto"/>
          <w:color w:val="0000FF"/>
        </w:rPr>
        <w:t>plus</w:t>
      </w:r>
      <w:r>
        <w:rPr>
          <w:rFonts w:ascii="Times New Roman" w:cs="Times New Roman" w:eastAsia="Times New Roman" w:hAnsi="Times New Roman"/>
          <w:sz w:val="20"/>
          <w:szCs w:val="20"/>
          <w:u w:val="single" w:color="auto"/>
          <w:color w:val="0000FF"/>
        </w:rPr>
        <w:t xml:space="preserve"> the Applicable Rate and (iii) each EURIBOR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Borrowing shall bear interest at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applicable</w:t>
      </w:r>
    </w:p>
    <w:p>
      <w:pPr>
        <w:spacing w:after="0" w:line="11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480"/>
          </w:cols>
          <w:pgMar w:left="980" w:top="26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Eurocurrency</w:t>
      </w:r>
      <w:r>
        <w:rPr>
          <w:rFonts w:ascii="Times New Roman" w:cs="Times New Roman" w:eastAsia="Times New Roman" w:hAnsi="Times New Roman"/>
          <w:sz w:val="20"/>
          <w:szCs w:val="20"/>
          <w:u w:val="single" w:color="auto"/>
          <w:color w:val="0000FF"/>
        </w:rPr>
        <w:t>EURIBOR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Rate for the Interest Period in effect for such Borrowing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i w:val="1"/>
          <w:iCs w:val="1"/>
          <w:color w:val="000000"/>
        </w:rPr>
        <w:t>plus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Applicable Rate.</w:t>
      </w:r>
    </w:p>
    <w:p>
      <w:pPr>
        <w:spacing w:after="0" w:line="220" w:lineRule="exact"/>
        <w:rPr>
          <w:sz w:val="20"/>
          <w:szCs w:val="20"/>
          <w:color w:val="auto"/>
        </w:rPr>
      </w:pPr>
    </w:p>
    <w:p>
      <w:pPr>
        <w:jc w:val="both"/>
        <w:ind w:right="20" w:firstLine="530"/>
        <w:spacing w:after="0" w:line="244" w:lineRule="auto"/>
        <w:tabs>
          <w:tab w:leader="none" w:pos="80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applicable to ABR Revolving Loans as provided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Section and (ii) if any principal of any Loan payable by the Borrower hereunder is not paid when due, whether at stated maturity, upon acceleration or otherwise, such overdue amount shall bear interest, after as well as before judgment, at a rate per annum equal to 2.00%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otherwise applicable to such Loan as provided in the preceding paragraphs of this Section.</w:t>
      </w:r>
    </w:p>
    <w:p>
      <w:pPr>
        <w:spacing w:after="0" w:line="185" w:lineRule="exact"/>
        <w:rPr>
          <w:rFonts w:ascii="Times New Roman" w:cs="Times New Roman" w:eastAsia="Times New Roman" w:hAnsi="Times New Roman"/>
          <w:sz w:val="20"/>
          <w:szCs w:val="20"/>
          <w:color w:val="auto"/>
        </w:rPr>
      </w:pPr>
    </w:p>
    <w:p>
      <w:pPr>
        <w:jc w:val="both"/>
        <w:ind w:firstLine="530"/>
        <w:spacing w:after="0" w:line="244" w:lineRule="auto"/>
        <w:tabs>
          <w:tab w:leader="none" w:pos="8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and upon termination of the Revolving Commitments;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EURIBOR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prior to the end of the current Interest Period therefor, accrued interest on such Loan shall be payable on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effective date of such conversion.</w:t>
      </w:r>
    </w:p>
    <w:p>
      <w:pPr>
        <w:spacing w:after="0" w:line="185" w:lineRule="exact"/>
        <w:rPr>
          <w:rFonts w:ascii="Times New Roman" w:cs="Times New Roman" w:eastAsia="Times New Roman" w:hAnsi="Times New Roman"/>
          <w:sz w:val="20"/>
          <w:szCs w:val="20"/>
          <w:color w:val="auto"/>
        </w:rPr>
      </w:pPr>
    </w:p>
    <w:p>
      <w:pPr>
        <w:jc w:val="both"/>
        <w:ind w:right="20" w:firstLine="530"/>
        <w:spacing w:after="0" w:line="243" w:lineRule="auto"/>
        <w:tabs>
          <w:tab w:leader="none" w:pos="79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ABR Loans shall be made on the basis of a year of 365 or 366 days, as the case may be, and actual days elapsed (including ABR Loans determined by reference to </w:t>
      </w:r>
      <w:r>
        <w:rPr>
          <w:rFonts w:ascii="Times New Roman" w:cs="Times New Roman" w:eastAsia="Times New Roman" w:hAnsi="Times New Roman"/>
          <w:sz w:val="20"/>
          <w:szCs w:val="20"/>
          <w:color w:val="FF0000"/>
          <w:strike w:val="1"/>
        </w:rPr>
        <w:t>the Eurocurrency Rate</w:t>
      </w:r>
      <w:r>
        <w:rPr>
          <w:rFonts w:ascii="Times New Roman" w:cs="Times New Roman" w:eastAsia="Times New Roman" w:hAnsi="Times New Roman"/>
          <w:sz w:val="20"/>
          <w:szCs w:val="20"/>
          <w:u w:val="single" w:color="auto"/>
          <w:color w:val="0000FF"/>
        </w:rPr>
        <w:t>Term SOFR</w:t>
      </w:r>
      <w:r>
        <w:rPr>
          <w:rFonts w:ascii="Times New Roman" w:cs="Times New Roman" w:eastAsia="Times New Roman" w:hAnsi="Times New Roman"/>
          <w:sz w:val="20"/>
          <w:szCs w:val="20"/>
          <w:color w:val="auto"/>
        </w:rPr>
        <w:t xml:space="preserv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 that is repaid on the same day on which it is made shall, bear interest for one day. Each determination by the Administrative Agent of an interest rate or fee hereunder shall be conclusive and binding for all purposes, absent manifest error.</w:t>
      </w:r>
    </w:p>
    <w:p>
      <w:pPr>
        <w:spacing w:after="0" w:line="185" w:lineRule="exact"/>
        <w:rPr>
          <w:rFonts w:ascii="Times New Roman" w:cs="Times New Roman" w:eastAsia="Times New Roman" w:hAnsi="Times New Roman"/>
          <w:sz w:val="20"/>
          <w:szCs w:val="20"/>
          <w:color w:val="auto"/>
        </w:rPr>
      </w:pPr>
    </w:p>
    <w:p>
      <w:pPr>
        <w:jc w:val="both"/>
        <w:ind w:firstLine="530"/>
        <w:spacing w:after="0" w:line="246" w:lineRule="auto"/>
        <w:tabs>
          <w:tab w:leader="none" w:pos="791" w:val="left"/>
        </w:tabs>
        <w:numPr>
          <w:ilvl w:val="0"/>
          <w:numId w:val="8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any Benchmark.</w:t>
      </w:r>
    </w:p>
    <w:p>
      <w:pPr>
        <w:spacing w:after="0" w:line="11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480"/>
          </w:cols>
          <w:pgMar w:left="980" w:top="261" w:right="439" w:bottom="1440" w:gutter="0" w:footer="0" w:header="0"/>
        </w:sectPr>
      </w:pPr>
    </w:p>
    <w:bookmarkStart w:id="85" w:name="page86"/>
    <w:bookmarkEnd w:id="85"/>
    <w:p>
      <w:pPr>
        <w:ind w:right="20" w:firstLine="1102"/>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2.12 </w:t>
      </w:r>
      <w:r>
        <w:rPr>
          <w:rFonts w:ascii="Times New Roman" w:cs="Times New Roman" w:eastAsia="Times New Roman" w:hAnsi="Times New Roman"/>
          <w:sz w:val="20"/>
          <w:szCs w:val="20"/>
          <w:u w:val="single" w:color="auto"/>
          <w:color w:val="auto"/>
        </w:rPr>
        <w:t>Alternate Rate of Interest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Subject to the definition of “Eurocurrency Rate,” if</w:t>
      </w:r>
      <w:r>
        <w:rPr>
          <w:rFonts w:ascii="Times New Roman" w:cs="Times New Roman" w:eastAsia="Times New Roman" w:hAnsi="Times New Roman"/>
          <w:sz w:val="20"/>
          <w:szCs w:val="20"/>
          <w:u w:val="single" w:color="auto"/>
          <w:color w:val="0000FF"/>
        </w:rPr>
        <w:t>If</w:t>
      </w:r>
      <w:r>
        <w:rPr>
          <w:rFonts w:ascii="Times New Roman" w:cs="Times New Roman" w:eastAsia="Times New Roman" w:hAnsi="Times New Roman"/>
          <w:sz w:val="20"/>
          <w:szCs w:val="20"/>
          <w:color w:val="auto"/>
        </w:rPr>
        <w:t xml:space="preserve"> prior to the commencement of any Interest Period for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Borrowing or EURIBOR Rate</w:t>
      </w:r>
      <w:r>
        <w:rPr>
          <w:rFonts w:ascii="Times New Roman" w:cs="Times New Roman" w:eastAsia="Times New Roman" w:hAnsi="Times New Roman"/>
          <w:sz w:val="20"/>
          <w:szCs w:val="20"/>
          <w:color w:val="auto"/>
        </w:rPr>
        <w:t xml:space="preserve"> Borrowing in any currency:</w:t>
      </w:r>
    </w:p>
    <w:p>
      <w:pPr>
        <w:spacing w:after="0" w:line="159" w:lineRule="exact"/>
        <w:rPr>
          <w:sz w:val="20"/>
          <w:szCs w:val="20"/>
          <w:color w:val="auto"/>
        </w:rPr>
      </w:pPr>
    </w:p>
    <w:p>
      <w:pPr>
        <w:jc w:val="both"/>
        <w:ind w:left="540" w:right="20" w:firstLine="530"/>
        <w:spacing w:after="0" w:line="254" w:lineRule="auto"/>
        <w:tabs>
          <w:tab w:leader="none" w:pos="1347"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determines (which determination shall be conclusive absent manifest error) that adequate and reasonable means do not exist for ascertaining </w:t>
      </w:r>
      <w:r>
        <w:rPr>
          <w:rFonts w:ascii="Times New Roman" w:cs="Times New Roman" w:eastAsia="Times New Roman" w:hAnsi="Times New Roman"/>
          <w:sz w:val="20"/>
          <w:szCs w:val="20"/>
          <w:u w:val="single" w:color="auto"/>
          <w:color w:val="0000FF"/>
        </w:rPr>
        <w:t>Term SOFR, SONIA or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EURIBOR</w:t>
      </w:r>
      <w:r>
        <w:rPr>
          <w:rFonts w:ascii="Times New Roman" w:cs="Times New Roman" w:eastAsia="Times New Roman" w:hAnsi="Times New Roman"/>
          <w:sz w:val="20"/>
          <w:szCs w:val="20"/>
          <w:color w:val="auto"/>
        </w:rPr>
        <w:t xml:space="preserve"> Rate for such currency for such Interest Period; or</w:t>
      </w:r>
    </w:p>
    <w:p>
      <w:pPr>
        <w:spacing w:after="0" w:line="174" w:lineRule="exact"/>
        <w:rPr>
          <w:rFonts w:ascii="Times New Roman" w:cs="Times New Roman" w:eastAsia="Times New Roman" w:hAnsi="Times New Roman"/>
          <w:sz w:val="20"/>
          <w:szCs w:val="20"/>
          <w:color w:val="auto"/>
        </w:rPr>
      </w:pPr>
    </w:p>
    <w:p>
      <w:pPr>
        <w:jc w:val="both"/>
        <w:ind w:left="540" w:firstLine="530"/>
        <w:spacing w:after="0" w:line="254" w:lineRule="auto"/>
        <w:tabs>
          <w:tab w:leader="none" w:pos="135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is advised by the Required Lenders that </w:t>
      </w:r>
      <w:r>
        <w:rPr>
          <w:rFonts w:ascii="Times New Roman" w:cs="Times New Roman" w:eastAsia="Times New Roman" w:hAnsi="Times New Roman"/>
          <w:sz w:val="20"/>
          <w:szCs w:val="20"/>
          <w:u w:val="single" w:color="auto"/>
          <w:color w:val="0000FF"/>
        </w:rPr>
        <w:t>Term SOFR, SONIA or</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EURIBOR</w:t>
      </w:r>
      <w:r>
        <w:rPr>
          <w:rFonts w:ascii="Times New Roman" w:cs="Times New Roman" w:eastAsia="Times New Roman" w:hAnsi="Times New Roman"/>
          <w:sz w:val="20"/>
          <w:szCs w:val="20"/>
          <w:color w:val="auto"/>
        </w:rPr>
        <w:t xml:space="preserve"> Rate for such currency for such Interest Period will not adequately and fairly reflect the cost to such Lenders of making or maintaining their Loans included in such Borrowing for such Interest Period;</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Borrower and the Lenders by telephone or any approved form of electronic communication as promptly as practicable thereafter and, until the Administrative Agent notifies the Borrower and the Lenders that the circumstances giving rise to such notice no longer exist, (1) any request pursuant to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that requests the conversion of any Borrowing to, or continuation of any Borrowing as,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Borrowing </w:t>
      </w:r>
      <w:r>
        <w:rPr>
          <w:rFonts w:ascii="Times New Roman" w:cs="Times New Roman" w:eastAsia="Times New Roman" w:hAnsi="Times New Roman"/>
          <w:sz w:val="20"/>
          <w:szCs w:val="20"/>
          <w:color w:val="0000FF"/>
        </w:rPr>
        <w:t>or EURIBOR Rate Borrowing</w:t>
      </w:r>
      <w:r>
        <w:rPr>
          <w:rFonts w:ascii="Times New Roman" w:cs="Times New Roman" w:eastAsia="Times New Roman" w:hAnsi="Times New Roman"/>
          <w:sz w:val="20"/>
          <w:szCs w:val="20"/>
          <w:color w:val="auto"/>
        </w:rPr>
        <w:t xml:space="preserve"> in the affected currency shall be ineffective and (2) if any Borrowing Request requests a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Borrowing </w:t>
      </w:r>
      <w:r>
        <w:rPr>
          <w:rFonts w:ascii="Times New Roman" w:cs="Times New Roman" w:eastAsia="Times New Roman" w:hAnsi="Times New Roman"/>
          <w:sz w:val="20"/>
          <w:szCs w:val="20"/>
          <w:color w:val="0000FF"/>
        </w:rPr>
        <w:t>or EURIBOR Rate Borrowing</w:t>
      </w:r>
      <w:r>
        <w:rPr>
          <w:rFonts w:ascii="Times New Roman" w:cs="Times New Roman" w:eastAsia="Times New Roman" w:hAnsi="Times New Roman"/>
          <w:sz w:val="20"/>
          <w:szCs w:val="20"/>
          <w:color w:val="auto"/>
        </w:rPr>
        <w:t xml:space="preserve"> in such currency, such Borrowing shall instead be an ABR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-287655</wp:posOffset>
            </wp:positionV>
            <wp:extent cx="15513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-321945</wp:posOffset>
            </wp:positionV>
            <wp:extent cx="15563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556385" cy="8890"/>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-142240</wp:posOffset>
            </wp:positionV>
            <wp:extent cx="16287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-176530</wp:posOffset>
            </wp:positionV>
            <wp:extent cx="16249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4965" cy="8255"/>
                    </a:xfrm>
                    <a:prstGeom prst="rect">
                      <a:avLst/>
                    </a:prstGeom>
                    <a:noFill/>
                  </pic:spPr>
                </pic:pic>
              </a:graphicData>
            </a:graphic>
          </wp:anchor>
        </w:drawing>
      </w:r>
    </w:p>
    <w:p>
      <w:pPr>
        <w:spacing w:after="0" w:line="1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Increased Costs.</w:t>
      </w:r>
    </w:p>
    <w:p>
      <w:pPr>
        <w:spacing w:after="0" w:line="216" w:lineRule="exact"/>
        <w:rPr>
          <w:sz w:val="20"/>
          <w:szCs w:val="20"/>
          <w:color w:val="auto"/>
        </w:rPr>
      </w:pPr>
    </w:p>
    <w:p>
      <w:pPr>
        <w:ind w:left="1340" w:hanging="270"/>
        <w:spacing w:after="0"/>
        <w:tabs>
          <w:tab w:leader="none" w:pos="134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Change in Law shall:</w:t>
      </w:r>
    </w:p>
    <w:p>
      <w:pPr>
        <w:spacing w:after="0" w:line="215" w:lineRule="exact"/>
        <w:rPr>
          <w:rFonts w:ascii="Times New Roman" w:cs="Times New Roman" w:eastAsia="Times New Roman" w:hAnsi="Times New Roman"/>
          <w:sz w:val="20"/>
          <w:szCs w:val="20"/>
          <w:color w:val="auto"/>
        </w:rPr>
      </w:pPr>
    </w:p>
    <w:p>
      <w:pPr>
        <w:jc w:val="both"/>
        <w:ind w:left="1100" w:right="20" w:firstLine="493"/>
        <w:spacing w:after="0" w:line="254" w:lineRule="auto"/>
        <w:tabs>
          <w:tab w:leader="none" w:pos="1864"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 xml:space="preserve"> other than as set forth below);</w:t>
      </w:r>
    </w:p>
    <w:p>
      <w:pPr>
        <w:spacing w:after="0" w:line="174" w:lineRule="exact"/>
        <w:rPr>
          <w:rFonts w:ascii="Times New Roman" w:cs="Times New Roman" w:eastAsia="Times New Roman" w:hAnsi="Times New Roman"/>
          <w:sz w:val="20"/>
          <w:szCs w:val="20"/>
          <w:color w:val="auto"/>
        </w:rPr>
      </w:pPr>
    </w:p>
    <w:p>
      <w:pPr>
        <w:jc w:val="both"/>
        <w:ind w:left="1100" w:firstLine="493"/>
        <w:spacing w:after="0" w:line="254" w:lineRule="auto"/>
        <w:tabs>
          <w:tab w:leader="none" w:pos="1900"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any Issuing Bank or the London interbank market any other condition, cost or expense affecting this Agreement</w:t>
      </w:r>
      <w:r>
        <w:rPr>
          <w:rFonts w:ascii="Times New Roman" w:cs="Times New Roman" w:eastAsia="Times New Roman" w:hAnsi="Times New Roman"/>
          <w:sz w:val="20"/>
          <w:szCs w:val="20"/>
          <w:u w:val="single" w:color="auto"/>
          <w:color w:val="0000FF"/>
        </w:rPr>
        <w:t>, RFR Loans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EURIBOR Rate</w:t>
      </w:r>
      <w:r>
        <w:rPr>
          <w:rFonts w:ascii="Times New Roman" w:cs="Times New Roman" w:eastAsia="Times New Roman" w:hAnsi="Times New Roman"/>
          <w:sz w:val="20"/>
          <w:szCs w:val="20"/>
          <w:color w:val="auto"/>
        </w:rPr>
        <w:t xml:space="preserve"> Loans made by such Lender or any Letter of Credit or participation therein; or</w:t>
      </w:r>
    </w:p>
    <w:p>
      <w:pPr>
        <w:spacing w:after="0" w:line="174" w:lineRule="exact"/>
        <w:rPr>
          <w:rFonts w:ascii="Times New Roman" w:cs="Times New Roman" w:eastAsia="Times New Roman" w:hAnsi="Times New Roman"/>
          <w:sz w:val="20"/>
          <w:szCs w:val="20"/>
          <w:color w:val="auto"/>
        </w:rPr>
      </w:pPr>
    </w:p>
    <w:p>
      <w:pPr>
        <w:jc w:val="both"/>
        <w:ind w:left="1100" w:firstLine="493"/>
        <w:spacing w:after="0" w:line="244" w:lineRule="auto"/>
        <w:tabs>
          <w:tab w:leader="none" w:pos="1942"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Lender or Issuing Bank to any Tax with respect to any Loan Document, or any Loan made by it or any Letter of Credit or participation therein, except for (X) Indemnified Taxes or Other Taxes indemnified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any such Taxes that are otherwise indemnifiable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but were not indemnified as a result of the Administrative Agent or Lender, as applicable, requesting indemnification after the applicable date set forth in the proviso to the first sentence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(Y) any penalties not indemnified under the first sentence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and</w:t>
      </w:r>
    </w:p>
    <w:p>
      <w:pPr>
        <w:ind w:left="1400" w:hanging="302"/>
        <w:spacing w:after="0"/>
        <w:tabs>
          <w:tab w:leader="none" w:pos="14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Taxes;</w:t>
      </w:r>
    </w:p>
    <w:p>
      <w:pPr>
        <w:spacing w:after="0" w:line="194" w:lineRule="exact"/>
        <w:rPr>
          <w:sz w:val="20"/>
          <w:szCs w:val="20"/>
          <w:color w:val="auto"/>
        </w:rPr>
      </w:pPr>
    </w:p>
    <w:p>
      <w:pPr>
        <w:jc w:val="both"/>
        <w:ind w:left="540"/>
        <w:spacing w:after="0" w:line="254"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of making or maintaining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Loans or EURIBOR Rate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Loan (or, in the case 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clause (iii)</w:t>
      </w:r>
      <w:r>
        <w:rPr>
          <w:rFonts w:ascii="Times New Roman" w:cs="Times New Roman" w:eastAsia="Times New Roman" w:hAnsi="Times New Roman"/>
          <w:sz w:val="20"/>
          <w:szCs w:val="20"/>
          <w:color w:val="000000"/>
        </w:rPr>
        <w:t>, any Loan), or of maintaining its obligation to make any such Loan,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to increase the cost to such Lender or Issuing Bank of participating in, issuing or maintaining any Letter of Credit or to</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1020"/>
          </w:cols>
          <w:pgMar w:left="440" w:top="265" w:right="439" w:bottom="1440" w:gutter="0" w:footer="0" w:header="0"/>
        </w:sectPr>
      </w:pPr>
    </w:p>
    <w:bookmarkStart w:id="86" w:name="page87"/>
    <w:bookmarkEnd w:id="86"/>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reduce the amount of any sum received or receivable by such Lender or Issuing Bank hereunder (whether of principal, interest or otherwise), then the Borrower will pay to such Lender or Issuing Bank, as the case may be, such additional amount or amounts as will compensate such Lender or Issuing Bank, as the case may be, for such additional costs incurred or reduction suffered;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no Lender or Issuing Bank shall be entitled to request compensation for any increased cost if it shall not certify that 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is the general policy and practice of such Lender or Issuing Bank to seek compensation in similar circumstances under similar provisions in comparable credit facilities to the extent it is entitled to do so.</w:t>
      </w:r>
    </w:p>
    <w:p>
      <w:pPr>
        <w:spacing w:after="0" w:line="184" w:lineRule="exact"/>
        <w:rPr>
          <w:sz w:val="20"/>
          <w:szCs w:val="20"/>
          <w:color w:val="auto"/>
        </w:rPr>
      </w:pPr>
    </w:p>
    <w:p>
      <w:pPr>
        <w:jc w:val="both"/>
        <w:ind w:right="20" w:firstLine="530"/>
        <w:spacing w:after="0" w:line="243" w:lineRule="auto"/>
        <w:tabs>
          <w:tab w:leader="none" w:pos="829"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185" w:lineRule="exact"/>
        <w:rPr>
          <w:rFonts w:ascii="Times New Roman" w:cs="Times New Roman" w:eastAsia="Times New Roman" w:hAnsi="Times New Roman"/>
          <w:sz w:val="20"/>
          <w:szCs w:val="20"/>
          <w:color w:val="auto"/>
        </w:rPr>
      </w:pPr>
    </w:p>
    <w:p>
      <w:pPr>
        <w:jc w:val="both"/>
        <w:ind w:firstLine="530"/>
        <w:spacing w:after="0" w:line="246" w:lineRule="auto"/>
        <w:tabs>
          <w:tab w:leader="none" w:pos="79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Lender or Issuing Bank setting forth in reasonable detail the basis for and the calculation of the amount or amounts necessary to compensate such Lender or Issuing Bank or its holding company, as the case may be,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shall be delivered to the Borrower and shall be conclusive absent manifest error. The Borrower shall pay such Lender or Issuing Bank, as the case may be, the amount shown as due on any such certificate within ten Business Days after receipt thereof.</w:t>
      </w:r>
    </w:p>
    <w:p>
      <w:pPr>
        <w:spacing w:after="0" w:line="184" w:lineRule="exact"/>
        <w:rPr>
          <w:rFonts w:ascii="Times New Roman" w:cs="Times New Roman" w:eastAsia="Times New Roman" w:hAnsi="Times New Roman"/>
          <w:sz w:val="20"/>
          <w:szCs w:val="20"/>
          <w:color w:val="auto"/>
        </w:rPr>
      </w:pPr>
    </w:p>
    <w:p>
      <w:pPr>
        <w:jc w:val="both"/>
        <w:ind w:right="20" w:firstLine="530"/>
        <w:spacing w:after="0" w:line="244" w:lineRule="auto"/>
        <w:tabs>
          <w:tab w:leader="none" w:pos="82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required to compensate a Lender or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if the Change in Law giving rise to such increased costs or reductions is retroactive, then the 180-day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referred to above shall be extended to include the period of retroactive effect thereof.</w:t>
      </w:r>
    </w:p>
    <w:p>
      <w:pPr>
        <w:spacing w:after="0" w:line="185" w:lineRule="exact"/>
        <w:rPr>
          <w:rFonts w:ascii="Times New Roman" w:cs="Times New Roman" w:eastAsia="Times New Roman" w:hAnsi="Times New Roman"/>
          <w:sz w:val="20"/>
          <w:szCs w:val="20"/>
          <w:color w:val="auto"/>
        </w:rPr>
      </w:pPr>
    </w:p>
    <w:p>
      <w:pPr>
        <w:jc w:val="both"/>
        <w:ind w:firstLine="530"/>
        <w:spacing w:after="0" w:line="243" w:lineRule="auto"/>
        <w:tabs>
          <w:tab w:leader="none" w:pos="80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pay to each Lender, (i) as long as such Lender shall be required to maintain reserves with respect to liabilities or assets consisting of or including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color w:val="auto"/>
        </w:rPr>
        <w:t xml:space="preserve"> funds or deposits </w:t>
      </w:r>
      <w:r>
        <w:rPr>
          <w:rFonts w:ascii="Times New Roman" w:cs="Times New Roman" w:eastAsia="Times New Roman" w:hAnsi="Times New Roman"/>
          <w:sz w:val="20"/>
          <w:szCs w:val="20"/>
          <w:color w:val="FF0000"/>
          <w:strike w:val="1"/>
        </w:rPr>
        <w:t>(currently known as “eurocurrency liabilities”)</w:t>
      </w:r>
      <w:r>
        <w:rPr>
          <w:rFonts w:ascii="Times New Roman" w:cs="Times New Roman" w:eastAsia="Times New Roman" w:hAnsi="Times New Roman"/>
          <w:sz w:val="20"/>
          <w:szCs w:val="20"/>
          <w:color w:val="auto"/>
        </w:rPr>
        <w:t xml:space="preserve">, additional interest on the unpaid principal amount of each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w:t>
      </w:r>
      <w:r>
        <w:rPr>
          <w:rFonts w:ascii="Times New Roman" w:cs="Times New Roman" w:eastAsia="Times New Roman" w:hAnsi="Times New Roman"/>
          <w:sz w:val="20"/>
          <w:szCs w:val="20"/>
          <w:color w:val="auto"/>
        </w:rPr>
        <w:t xml:space="preserve">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Revolving Commitments or the funding of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Loans or EURIBOR</w:t>
      </w:r>
      <w:r>
        <w:rPr>
          <w:rFonts w:ascii="Times New Roman" w:cs="Times New Roman" w:eastAsia="Times New Roman" w:hAnsi="Times New Roman"/>
          <w:sz w:val="20"/>
          <w:szCs w:val="20"/>
          <w:color w:val="auto"/>
        </w:rPr>
        <w:t xml:space="preserve"> Rate Loans, such additional costs (expressed as a percentage per annum and rounded</w:t>
      </w:r>
    </w:p>
    <w:p>
      <w:pPr>
        <w:spacing w:after="0" w:line="12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480"/>
          </w:cols>
          <w:pgMar w:left="980" w:top="265" w:right="439" w:bottom="1440" w:gutter="0" w:footer="0" w:header="0"/>
        </w:sectPr>
      </w:pPr>
    </w:p>
    <w:bookmarkStart w:id="87" w:name="page88"/>
    <w:bookmarkEnd w:id="87"/>
    <w:p>
      <w:pPr>
        <w:jc w:val="both"/>
        <w:ind w:left="540" w:right="2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upwards, if necessary, to the nearest five decimal places) equal to the actual costs allocated to such Revolving Commitment or Loan by such Lender (as determined by such Lender in good faith, which determination shall be conclusive), which in each case shall be due and payable on each date or which interest is payable on such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the Borrower shall have received at least ten Business Days’ prior notice (with a copy to the Administrative Agent) of such additional interest or costs from such Lender. If a Lender fails to give notice ten Business Days prior to the relevant Interest Payment Date, such additional interest or costs shall be due and payable ten Business Days from receipt of such notice.</w:t>
      </w:r>
    </w:p>
    <w:p>
      <w:pPr>
        <w:spacing w:after="0" w:line="184" w:lineRule="exact"/>
        <w:rPr>
          <w:sz w:val="20"/>
          <w:szCs w:val="20"/>
          <w:color w:val="auto"/>
        </w:rPr>
      </w:pPr>
    </w:p>
    <w:p>
      <w:pPr>
        <w:jc w:val="both"/>
        <w:ind w:firstLine="1102"/>
        <w:spacing w:after="0" w:line="241" w:lineRule="auto"/>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 xml:space="preserve">. In the event of (a) the payment or prepayment of any principal of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Loan other than on the last day of an Interest Period applicable thereto (including as a result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an Event of Default), (b) the conversion of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000000"/>
        </w:rPr>
        <w:t xml:space="preserve"> Loan other than on the last day of the Interest Period applicable thereto, (c) the failure to borrow, convert, continue or prepay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000000"/>
        </w:rPr>
        <w:t xml:space="preserve">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000000"/>
        </w:rPr>
        <w:t>Section 2.09(c)</w:t>
      </w:r>
      <w:r>
        <w:rPr>
          <w:rFonts w:ascii="Times New Roman" w:cs="Times New Roman" w:eastAsia="Times New Roman" w:hAnsi="Times New Roman"/>
          <w:sz w:val="20"/>
          <w:szCs w:val="20"/>
          <w:color w:val="000000"/>
        </w:rPr>
        <w:t xml:space="preserve"> and is revoked in accordance therewith) or (d) the assignment of any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RFR Loan or EURIBOR Rate</w:t>
      </w:r>
      <w:r>
        <w:rPr>
          <w:rFonts w:ascii="Times New Roman" w:cs="Times New Roman" w:eastAsia="Times New Roman" w:hAnsi="Times New Roman"/>
          <w:sz w:val="20"/>
          <w:szCs w:val="20"/>
          <w:color w:val="000000"/>
        </w:rPr>
        <w:t xml:space="preserve"> Loan other than on the last day of the Interest Period applicable thereto as a result of a request by the Borrower pursuant to </w:t>
      </w:r>
      <w:r>
        <w:rPr>
          <w:rFonts w:ascii="Times New Roman" w:cs="Times New Roman" w:eastAsia="Times New Roman" w:hAnsi="Times New Roman"/>
          <w:sz w:val="20"/>
          <w:szCs w:val="20"/>
          <w:u w:val="single" w:color="auto"/>
          <w:color w:val="000000"/>
        </w:rPr>
        <w:t>Section 2.17</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Section 9.02(b)</w:t>
      </w:r>
      <w:r>
        <w:rPr>
          <w:rFonts w:ascii="Times New Roman" w:cs="Times New Roman" w:eastAsia="Times New Roman" w:hAnsi="Times New Roman"/>
          <w:sz w:val="20"/>
          <w:szCs w:val="20"/>
          <w:color w:val="000000"/>
        </w:rPr>
        <w:t xml:space="preserve">,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w:t>
      </w:r>
      <w:r>
        <w:rPr>
          <w:rFonts w:ascii="Times New Roman" w:cs="Times New Roman" w:eastAsia="Times New Roman" w:hAnsi="Times New Roman"/>
          <w:sz w:val="20"/>
          <w:szCs w:val="20"/>
          <w:u w:val="single" w:color="auto"/>
          <w:color w:val="0000FF"/>
        </w:rPr>
        <w:t>the RFR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EURIBOR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Rate that would have been applicable to such Loan (excluding the Applicable Rate), for the period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from the date of such event to the last day of the then current Interest Period therefor (or, in the case of a failure to borrow, convert or continue, for the period that would have been the Interest Period for such Loan), </w:t>
      </w:r>
      <w:r>
        <w:rPr>
          <w:rFonts w:ascii="Times New Roman" w:cs="Times New Roman" w:eastAsia="Times New Roman" w:hAnsi="Times New Roman"/>
          <w:sz w:val="20"/>
          <w:szCs w:val="20"/>
          <w:u w:val="single" w:color="auto"/>
          <w:color w:val="0000FF"/>
        </w:rPr>
        <w:t>over</w:t>
      </w:r>
      <w:r>
        <w:rPr>
          <w:rFonts w:ascii="Times New Roman" w:cs="Times New Roman" w:eastAsia="Times New Roman" w:hAnsi="Times New Roman"/>
          <w:sz w:val="20"/>
          <w:szCs w:val="20"/>
          <w:color w:val="000000"/>
        </w:rPr>
        <w:t xml:space="preserve">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w:t>
      </w:r>
      <w:r>
        <w:rPr>
          <w:rFonts w:ascii="Times New Roman" w:cs="Times New Roman" w:eastAsia="Times New Roman" w:hAnsi="Times New Roman"/>
          <w:sz w:val="20"/>
          <w:szCs w:val="20"/>
          <w:color w:val="FF0000"/>
          <w:strike w:val="1"/>
        </w:rPr>
        <w:t>Eurocurrency</w:t>
      </w:r>
      <w:r>
        <w:rPr>
          <w:rFonts w:ascii="Times New Roman" w:cs="Times New Roman" w:eastAsia="Times New Roman" w:hAnsi="Times New Roman"/>
          <w:sz w:val="20"/>
          <w:szCs w:val="20"/>
          <w:u w:val="single" w:color="auto"/>
          <w:color w:val="0000FF"/>
        </w:rPr>
        <w:t>interbank</w:t>
      </w:r>
      <w:r>
        <w:rPr>
          <w:rFonts w:ascii="Times New Roman" w:cs="Times New Roman" w:eastAsia="Times New Roman" w:hAnsi="Times New Roman"/>
          <w:sz w:val="20"/>
          <w:szCs w:val="20"/>
          <w:color w:val="000000"/>
        </w:rPr>
        <w:t xml:space="preserve">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Business Days after receipt thereof.</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Taxes.</w:t>
      </w:r>
    </w:p>
    <w:p>
      <w:pPr>
        <w:spacing w:after="0" w:line="216" w:lineRule="exact"/>
        <w:rPr>
          <w:sz w:val="20"/>
          <w:szCs w:val="20"/>
          <w:color w:val="auto"/>
        </w:rPr>
      </w:pPr>
    </w:p>
    <w:p>
      <w:pPr>
        <w:jc w:val="both"/>
        <w:ind w:left="540" w:firstLine="530"/>
        <w:spacing w:after="0" w:line="242" w:lineRule="auto"/>
        <w:tabs>
          <w:tab w:leader="none" w:pos="134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by or on account of any obligation of any Loan Party under any Loan Document shall be made free and clear of and without deduction for any Taxes, except as required by applicable Requirement of Law. If any applicable Requirement of Law (as determined in the good faith discretion of the applicable withholding agent) requires the deduction or withholding of any Taxes from such payments, then (i) if such Tax is an Indemnified Tax or Other Tax, the sum payable by the applicable Loan Party shall be increased as necessary so that after all such required deductions have been made by the applicable withholding agent (including such deductions applicable to additional sums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Lender (or, in the case of a payment to the Administrative Agent, for its own account, the Administrative Agent)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1020"/>
          </w:cols>
          <w:pgMar w:left="440" w:top="265" w:right="439" w:bottom="1440" w:gutter="0" w:footer="0" w:header="0"/>
        </w:sectPr>
      </w:pPr>
    </w:p>
    <w:bookmarkStart w:id="88" w:name="page89"/>
    <w:bookmarkEnd w:id="88"/>
    <w:p>
      <w:pPr>
        <w:ind w:left="-460" w:right="20" w:firstLine="530"/>
        <w:spacing w:after="0" w:line="269" w:lineRule="auto"/>
        <w:tabs>
          <w:tab w:leader="none" w:pos="36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provisions of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the Borrower shall timely pay any Other Taxes to the relevant Governmental Authority in accordance with applicable Requirements of Law.</w:t>
      </w:r>
    </w:p>
    <w:p>
      <w:pPr>
        <w:spacing w:after="0" w:line="159" w:lineRule="exact"/>
        <w:rPr>
          <w:rFonts w:ascii="Times New Roman" w:cs="Times New Roman" w:eastAsia="Times New Roman" w:hAnsi="Times New Roman"/>
          <w:sz w:val="20"/>
          <w:szCs w:val="20"/>
          <w:color w:val="auto"/>
        </w:rPr>
      </w:pPr>
    </w:p>
    <w:p>
      <w:pPr>
        <w:jc w:val="both"/>
        <w:ind w:left="-460" w:firstLine="530"/>
        <w:spacing w:after="0" w:line="241" w:lineRule="auto"/>
        <w:tabs>
          <w:tab w:leader="none" w:pos="35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indemnify and hold harmless the Administrative Agent and each Lender, within twenty Business Days after written demand therefor, for the full amount of any Indemnified Taxes imposed on or with respect to any payment by or on account of any obligation of any Loan Party under any Loan Document, and any Other Taxes, payable by the Administrative Agent or such Lender (including Indemnified Taxes or Other Taxes imposed or asserted on or attributable to amounts payable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any reasonable out of pocket expenses arising therefrom or with respect thereto, whether or not such Indemnified Taxes or Other Taxes were correctly or legally imposed or asserted by the relevant Governmental Authority, except for any penalties, interest or expenses to the extent determined by a final and non-appealable judgment of a court of competent jurisdiction to have resulted from the gross negligence or willful misconduct of such Administrative Agent or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Administrative Agent or any Lender requests indemnification more than 180 days after the earlier of (1) the date on which the Administrative Agent or the applicable Lender received written demand for payment of the applicable Indemnified Taxes or Other Taxes from the relevant Governmental Authority or (2) the date on which the Administrative Agent or the applicable Lender paid the applicable Indemnified Taxes or Other Taxes, the Administrative Agent or the applicable Lender shall not be indemnified to the extent that the Borrower is actually prejudiced by the indemnitee’s failure to request indemnification no later than the end of the foregoing 180-day period. The written demand shall be made in a certificate setting forth the amount of such Indemnified Taxes or Other Taxes and, in reasonable detail, the calculation and basis for such Indemnified Taxes or Other Taxes, and shall be assumed to be correct absent manifest error.</w:t>
      </w:r>
    </w:p>
    <w:p>
      <w:pPr>
        <w:spacing w:after="0" w:line="193" w:lineRule="exact"/>
        <w:rPr>
          <w:rFonts w:ascii="Times New Roman" w:cs="Times New Roman" w:eastAsia="Times New Roman" w:hAnsi="Times New Roman"/>
          <w:sz w:val="20"/>
          <w:szCs w:val="20"/>
          <w:color w:val="auto"/>
        </w:rPr>
      </w:pPr>
    </w:p>
    <w:p>
      <w:pPr>
        <w:jc w:val="both"/>
        <w:ind w:left="-460" w:firstLine="530"/>
        <w:spacing w:after="0" w:line="249" w:lineRule="auto"/>
        <w:tabs>
          <w:tab w:leader="none" w:pos="35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any payment of any Indemnified Taxes or Other Taxes by a Loan Party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left="-460" w:right="20" w:firstLine="530"/>
        <w:spacing w:after="0" w:line="274" w:lineRule="auto"/>
        <w:tabs>
          <w:tab w:leader="none" w:pos="336"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spacing w:after="0" w:line="156" w:lineRule="exact"/>
        <w:rPr>
          <w:rFonts w:ascii="Times New Roman" w:cs="Times New Roman" w:eastAsia="Times New Roman" w:hAnsi="Times New Roman"/>
          <w:sz w:val="19"/>
          <w:szCs w:val="19"/>
          <w:color w:val="auto"/>
        </w:rPr>
      </w:pPr>
    </w:p>
    <w:p>
      <w:pPr>
        <w:jc w:val="both"/>
        <w:ind w:left="100" w:right="20" w:firstLine="493"/>
        <w:spacing w:after="0" w:line="254" w:lineRule="auto"/>
        <w:tabs>
          <w:tab w:leader="none" w:pos="894"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174" w:lineRule="exact"/>
        <w:rPr>
          <w:sz w:val="20"/>
          <w:szCs w:val="20"/>
          <w:color w:val="auto"/>
        </w:rPr>
      </w:pPr>
    </w:p>
    <w:p>
      <w:pPr>
        <w:jc w:val="both"/>
        <w:ind w:left="540" w:right="20" w:firstLine="472"/>
        <w:spacing w:after="0" w:line="254" w:lineRule="auto"/>
        <w:tabs>
          <w:tab w:leader="none" w:pos="134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duly completed signed original copies of Internal Revenue Service Form W-8BEN or Internal Revenue Service Form W-8BEN-E, as applicable, claiming eligibility for the benefits of an income tax treaty to which the United States is a party,</w:t>
      </w:r>
    </w:p>
    <w:p>
      <w:pPr>
        <w:spacing w:after="0" w:line="10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020"/>
          </w:cols>
          <w:pgMar w:left="1440" w:top="265" w:right="439" w:bottom="1440" w:gutter="0" w:footer="0" w:header="0"/>
        </w:sectPr>
      </w:pPr>
    </w:p>
    <w:bookmarkStart w:id="89" w:name="page90"/>
    <w:bookmarkEnd w:id="89"/>
    <w:p>
      <w:pPr>
        <w:ind w:left="1320" w:hanging="308"/>
        <w:spacing w:after="0"/>
        <w:tabs>
          <w:tab w:leader="none" w:pos="132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two duly completed signed original copies of Internal Revenue Service Form W-8ECI,</w:t>
      </w:r>
    </w:p>
    <w:p>
      <w:pPr>
        <w:spacing w:after="0" w:line="215" w:lineRule="exact"/>
        <w:rPr>
          <w:rFonts w:ascii="Times New Roman" w:cs="Times New Roman" w:eastAsia="Times New Roman" w:hAnsi="Times New Roman"/>
          <w:sz w:val="20"/>
          <w:szCs w:val="20"/>
          <w:color w:val="auto"/>
        </w:rPr>
      </w:pPr>
    </w:p>
    <w:p>
      <w:pPr>
        <w:jc w:val="both"/>
        <w:ind w:left="540" w:firstLine="472"/>
        <w:spacing w:after="0" w:line="249" w:lineRule="auto"/>
        <w:tabs>
          <w:tab w:leader="none" w:pos="138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(1) two duly completed signed original certificates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(any such certificate a “</w:t>
      </w:r>
      <w:r>
        <w:rPr>
          <w:rFonts w:ascii="Times New Roman" w:cs="Times New Roman" w:eastAsia="Times New Roman" w:hAnsi="Times New Roman"/>
          <w:sz w:val="20"/>
          <w:szCs w:val="20"/>
          <w:u w:val="single" w:color="auto"/>
          <w:color w:val="auto"/>
        </w:rPr>
        <w:t>United States Tax Compliance Certificate</w:t>
      </w:r>
      <w:r>
        <w:rPr>
          <w:rFonts w:ascii="Times New Roman" w:cs="Times New Roman" w:eastAsia="Times New Roman" w:hAnsi="Times New Roman"/>
          <w:sz w:val="20"/>
          <w:szCs w:val="20"/>
          <w:color w:val="auto"/>
        </w:rPr>
        <w:t>”) and (2) two duly completed signed original copies of Internal Revenue Service Form W-8BEN or Internal Revenue Service Form W-8BEN-E, as applicable, or</w:t>
      </w:r>
    </w:p>
    <w:p>
      <w:pPr>
        <w:spacing w:after="0" w:line="179" w:lineRule="exact"/>
        <w:rPr>
          <w:rFonts w:ascii="Times New Roman" w:cs="Times New Roman" w:eastAsia="Times New Roman" w:hAnsi="Times New Roman"/>
          <w:sz w:val="20"/>
          <w:szCs w:val="20"/>
          <w:color w:val="auto"/>
        </w:rPr>
      </w:pPr>
    </w:p>
    <w:p>
      <w:pPr>
        <w:jc w:val="both"/>
        <w:ind w:left="540" w:right="20" w:firstLine="472"/>
        <w:spacing w:after="0" w:line="244" w:lineRule="auto"/>
        <w:tabs>
          <w:tab w:leader="none" w:pos="1369"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(for example, where the Foreign Lender is a partnership or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 xml:space="preserve"> if such beneficial owner were a Lender, as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Foreign Lender is a partnership (and not a participating Lender) and one or more beneficial owners of such Foreign Lender are claiming the portfolio interest exemption, such Foreign Lender may provide a U.S. Tax Compliance Certificate on behalf of such beneficial owner.</w:t>
      </w:r>
    </w:p>
    <w:p>
      <w:pPr>
        <w:spacing w:after="0" w:line="185" w:lineRule="exact"/>
        <w:rPr>
          <w:rFonts w:ascii="Times New Roman" w:cs="Times New Roman" w:eastAsia="Times New Roman" w:hAnsi="Times New Roman"/>
          <w:sz w:val="20"/>
          <w:szCs w:val="20"/>
          <w:color w:val="auto"/>
        </w:rPr>
      </w:pPr>
    </w:p>
    <w:p>
      <w:pPr>
        <w:jc w:val="both"/>
        <w:ind w:left="100" w:right="20" w:firstLine="493"/>
        <w:spacing w:after="0" w:line="258" w:lineRule="auto"/>
        <w:tabs>
          <w:tab w:leader="none" w:pos="951"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Without limitation of its obligations under </w:t>
      </w:r>
      <w:r>
        <w:rPr>
          <w:rFonts w:ascii="Times New Roman" w:cs="Times New Roman" w:eastAsia="Times New Roman" w:hAnsi="Times New Roman"/>
          <w:sz w:val="19"/>
          <w:szCs w:val="19"/>
          <w:u w:val="single" w:color="auto"/>
          <w:color w:val="auto"/>
        </w:rPr>
        <w:t>paragraphs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each Lender shall, at such time(s) as reasonably requested by the Borrower or the Administrative Agent, provide the Borrower and the Administrative Agent with any other documentation prescribed by applicable Requirements of Law or reasonably requested by the Borrower or the Administrative Agent, properly completed and executed, as will permit payments made to such Lender under the Loan Documents to be made without or at a reduced rate of withholding tax.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w:t>
      </w:r>
    </w:p>
    <w:p>
      <w:pPr>
        <w:spacing w:after="0" w:line="173" w:lineRule="exact"/>
        <w:rPr>
          <w:rFonts w:ascii="Times New Roman" w:cs="Times New Roman" w:eastAsia="Times New Roman" w:hAnsi="Times New Roman"/>
          <w:sz w:val="19"/>
          <w:szCs w:val="19"/>
          <w:color w:val="auto"/>
        </w:rPr>
      </w:pPr>
    </w:p>
    <w:p>
      <w:pPr>
        <w:jc w:val="both"/>
        <w:ind w:left="100" w:firstLine="493"/>
        <w:spacing w:after="0" w:line="244" w:lineRule="auto"/>
        <w:tabs>
          <w:tab w:leader="none" w:pos="93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deliver to the Borrower and the Administrative Agent two further signed original copies of any previously delivered documentation (or applicable successor thereto) on or before the date that any such prior documentation expires or becomes obsolete or inaccurate and promptly after the occurrence of any event requiring a change in the most recent documentation previously delivered by it to the Borrower or the Administrative Agent, or promptly notify the Borrower and the Administrative Agent in writing that it is legally ineligible to do so. Each Lender shall promptly notify the Borrower and the Administrative Agent in writing at any time it determines that it is no longer in a position to provide any previously delivered documentation to the Borrower or the Administrative Agent.</w:t>
      </w:r>
    </w:p>
    <w:p>
      <w:pPr>
        <w:spacing w:after="0" w:line="185" w:lineRule="exact"/>
        <w:rPr>
          <w:rFonts w:ascii="Times New Roman" w:cs="Times New Roman" w:eastAsia="Times New Roman" w:hAnsi="Times New Roman"/>
          <w:sz w:val="20"/>
          <w:szCs w:val="20"/>
          <w:color w:val="auto"/>
        </w:rPr>
      </w:pPr>
    </w:p>
    <w:p>
      <w:pPr>
        <w:ind w:left="100" w:right="20" w:firstLine="493"/>
        <w:spacing w:after="0" w:line="269" w:lineRule="auto"/>
        <w:tabs>
          <w:tab w:leader="none" w:pos="92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 of this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 a Lender shall not be required to deliver any documentation that such Lender is not legally eligible to deliver.</w:t>
      </w:r>
    </w:p>
    <w:p>
      <w:pPr>
        <w:spacing w:after="0" w:line="9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020"/>
          </w:cols>
          <w:pgMar w:left="1440" w:top="265" w:right="439" w:bottom="1440" w:gutter="0" w:footer="0" w:header="0"/>
        </w:sectPr>
      </w:pPr>
    </w:p>
    <w:bookmarkStart w:id="90" w:name="page91"/>
    <w:bookmarkEnd w:id="90"/>
    <w:p>
      <w:pPr>
        <w:jc w:val="both"/>
        <w:ind w:left="553" w:firstLine="493"/>
        <w:spacing w:after="0" w:line="242" w:lineRule="auto"/>
        <w:tabs>
          <w:tab w:leader="none" w:pos="1412" w:val="left"/>
        </w:tabs>
        <w:numPr>
          <w:ilvl w:val="2"/>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Requirements of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“FATCA” shall include any amendments made to FATCA after the date of this Agreement.</w:t>
      </w:r>
    </w:p>
    <w:p>
      <w:pPr>
        <w:spacing w:after="0" w:line="192" w:lineRule="exact"/>
        <w:rPr>
          <w:rFonts w:ascii="Times New Roman" w:cs="Times New Roman" w:eastAsia="Times New Roman" w:hAnsi="Times New Roman"/>
          <w:sz w:val="20"/>
          <w:szCs w:val="20"/>
          <w:color w:val="auto"/>
        </w:rPr>
      </w:pPr>
    </w:p>
    <w:p>
      <w:pPr>
        <w:ind w:left="-7" w:right="20" w:firstLine="530"/>
        <w:spacing w:after="0" w:line="269" w:lineRule="auto"/>
        <w:tabs>
          <w:tab w:leader="none" w:pos="77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authorizes the Administrative Agent to deliver to the Borrower and to any successor Administrative Agent any documentation provided by such Lender to the Administrative Agent pursuant to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813" w:hanging="290"/>
        <w:spacing w:after="0"/>
        <w:tabs>
          <w:tab w:leader="none" w:pos="81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provide the Borrower with, if it is a United States person (as defined in Section 7701(a)</w:t>
      </w:r>
    </w:p>
    <w:p>
      <w:pPr>
        <w:spacing w:after="0" w:line="21" w:lineRule="exact"/>
        <w:rPr>
          <w:rFonts w:ascii="Times New Roman" w:cs="Times New Roman" w:eastAsia="Times New Roman" w:hAnsi="Times New Roman"/>
          <w:sz w:val="20"/>
          <w:szCs w:val="20"/>
          <w:color w:val="auto"/>
        </w:rPr>
      </w:pPr>
    </w:p>
    <w:p>
      <w:pPr>
        <w:jc w:val="both"/>
        <w:ind w:left="-7" w:firstLine="7"/>
        <w:spacing w:after="0"/>
        <w:tabs>
          <w:tab w:leader="none" w:pos="37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Code), two copies of duly completed and executed Internal Revenue Service Form W-9 certifying that it is exempt from U.S. federal backup withholding, and, if it is not a United States person, two copies of duly completed and executed (1) Internal Revenue Service Form W-8ECI, Form W-8BEN, or Form W-8BEN-E, as applicable, with respect to payments to be received by it as a beneficial owner and (2) Internal Revenue Service Form W-8IMY (together with required accompanying documentation) assuming primary responsibility for U.S. federal income tax withholding with respect to payments to be received by it on behalf of the Lenders, and shall update such forms periodically upon the reasonable request of the Borrower. Notwithstanding any other provision of this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 xml:space="preserve">, the Administrative Agent shall not be required to deliver any form that such Administrative Agent is not legally eligible to deliver,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that the Administrative Agent is not legally eligible to deliver the forms described in this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 xml:space="preserve">), the Borrower may require the appointment of a sub-agent in accordance with Article VIII, which sub-agent shall deliver to the Borrower the documentation described in this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7" w:right="20" w:firstLine="530"/>
        <w:spacing w:after="0" w:line="242" w:lineRule="auto"/>
        <w:tabs>
          <w:tab w:leader="none" w:pos="82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or a Lender determines, in its reasonable discretion, that it has received a refund of any Indemnified Taxes or Other Taxes as to which it has been indemnified by the Borrower or with respect to which the Borrower has paid additional amounts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it shall pay over such refund to the Borrower (but only to the extent of indemnity payments made, or additional amounts paid, by the Borrower under this Section with respect to the Indemnified Taxes or Other Taxes giving rise to such refund), net of all reasonable expenses (including any Taxes)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Borrower, upon the request of the Administrative Agent or such Lender, agrees to repay the amount paid over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Borrower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w:t>
      </w:r>
    </w:p>
    <w:p>
      <w:pPr>
        <w:spacing w:after="0" w:line="125" w:lineRule="exact"/>
        <w:rPr>
          <w:sz w:val="20"/>
          <w:szCs w:val="20"/>
          <w:color w:val="auto"/>
        </w:rPr>
      </w:pPr>
    </w:p>
    <w:p>
      <w:pPr>
        <w:ind w:left="4833"/>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473"/>
          </w:cols>
          <w:pgMar w:left="987" w:top="265" w:right="439" w:bottom="1440" w:gutter="0" w:footer="0" w:header="0"/>
        </w:sectPr>
      </w:pPr>
    </w:p>
    <w:bookmarkStart w:id="91" w:name="page92"/>
    <w:bookmarkEnd w:id="91"/>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or any Lender to make available its Tax returns (or any other information relating to its Taxes that it deems confidential) to the Borrower or any other Person.</w:t>
      </w:r>
    </w:p>
    <w:p>
      <w:pPr>
        <w:spacing w:after="0" w:line="159" w:lineRule="exact"/>
        <w:rPr>
          <w:sz w:val="20"/>
          <w:szCs w:val="20"/>
          <w:color w:val="auto"/>
        </w:rPr>
      </w:pPr>
    </w:p>
    <w:p>
      <w:pPr>
        <w:jc w:val="both"/>
        <w:ind w:right="20" w:firstLine="530"/>
        <w:spacing w:after="0" w:line="250" w:lineRule="auto"/>
        <w:tabs>
          <w:tab w:leader="none" w:pos="771"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Lender shall use commercially reasonable efforts to cooperate with the Borrower in attempting to recover any Indemnified Taxes and Other Taxes that the Borrower reasonably asserts were improperly imposed if</w:t>
      </w:r>
    </w:p>
    <w:p>
      <w:pPr>
        <w:spacing w:after="0" w:line="1" w:lineRule="exact"/>
        <w:rPr>
          <w:rFonts w:ascii="Times New Roman" w:cs="Times New Roman" w:eastAsia="Times New Roman" w:hAnsi="Times New Roman"/>
          <w:sz w:val="20"/>
          <w:szCs w:val="20"/>
          <w:color w:val="auto"/>
        </w:rPr>
      </w:pPr>
    </w:p>
    <w:p>
      <w:pPr>
        <w:jc w:val="both"/>
        <w:ind w:firstLine="7"/>
        <w:spacing w:after="0"/>
        <w:tabs>
          <w:tab w:leader="none" w:pos="25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good faith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any such attempts shall be at the sole cost of the Borrower and the Borrower shall indemnify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and each Lender for any costs it incurs in connection with complying with this </w:t>
      </w:r>
      <w:r>
        <w:rPr>
          <w:rFonts w:ascii="Times New Roman" w:cs="Times New Roman" w:eastAsia="Times New Roman" w:hAnsi="Times New Roman"/>
          <w:sz w:val="20"/>
          <w:szCs w:val="20"/>
          <w:u w:val="single" w:color="auto"/>
          <w:color w:val="auto"/>
        </w:rPr>
        <w:t>Section 2.15(i)</w:t>
      </w:r>
      <w:r>
        <w:rPr>
          <w:rFonts w:ascii="Times New Roman" w:cs="Times New Roman" w:eastAsia="Times New Roman" w:hAnsi="Times New Roman"/>
          <w:sz w:val="20"/>
          <w:szCs w:val="20"/>
          <w:color w:val="auto"/>
        </w:rPr>
        <w:t xml:space="preserve">. In such event, the applicable Administrative Agent or Lender shall only be required to pursue the applicable refund in a commercially reasonable manner, and at the Borrower’s sole cost and expense. In no event will this </w:t>
      </w:r>
      <w:r>
        <w:rPr>
          <w:rFonts w:ascii="Times New Roman" w:cs="Times New Roman" w:eastAsia="Times New Roman" w:hAnsi="Times New Roman"/>
          <w:sz w:val="20"/>
          <w:szCs w:val="20"/>
          <w:u w:val="single" w:color="auto"/>
          <w:color w:val="auto"/>
        </w:rPr>
        <w:t>Section 2.15(i)</w:t>
      </w:r>
      <w:r>
        <w:rPr>
          <w:rFonts w:ascii="Times New Roman" w:cs="Times New Roman" w:eastAsia="Times New Roman" w:hAnsi="Times New Roman"/>
          <w:sz w:val="20"/>
          <w:szCs w:val="20"/>
          <w:color w:val="auto"/>
        </w:rPr>
        <w:t xml:space="preserve"> relieve the Borrower of its obligation to pay any additional amounts or indemnification payments to the Administrative Agent or any Lender under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Any refund obtained shall be repaid to the Borrower to the extent provided in </w:t>
      </w:r>
      <w:r>
        <w:rPr>
          <w:rFonts w:ascii="Times New Roman" w:cs="Times New Roman" w:eastAsia="Times New Roman" w:hAnsi="Times New Roman"/>
          <w:sz w:val="20"/>
          <w:szCs w:val="20"/>
          <w:u w:val="single" w:color="auto"/>
          <w:color w:val="auto"/>
        </w:rPr>
        <w:t>Section 2.15(h)</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760" w:hanging="230"/>
        <w:spacing w:after="0"/>
        <w:tabs>
          <w:tab w:leader="none" w:pos="76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the term “Lender” shall include any Issuing Bank and any Swing Line Lender.</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Payments Generally; Pro Rata Treatment; Sharing of Setoffs.</w:t>
      </w:r>
    </w:p>
    <w:p>
      <w:pPr>
        <w:spacing w:after="0" w:line="216" w:lineRule="exact"/>
        <w:rPr>
          <w:sz w:val="20"/>
          <w:szCs w:val="20"/>
          <w:color w:val="auto"/>
        </w:rPr>
      </w:pPr>
    </w:p>
    <w:p>
      <w:pPr>
        <w:jc w:val="both"/>
        <w:ind w:firstLine="530"/>
        <w:spacing w:after="0" w:line="255" w:lineRule="auto"/>
        <w:tabs>
          <w:tab w:leader="none" w:pos="821"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make each payment required to be made by it under any Loan Document (whether of principal, interest, fees or reimbursement of LC Borrowings or LC Disbursements, or of amounts payable under </w:t>
      </w:r>
      <w:r>
        <w:rPr>
          <w:rFonts w:ascii="Times New Roman" w:cs="Times New Roman" w:eastAsia="Times New Roman" w:hAnsi="Times New Roman"/>
          <w:sz w:val="19"/>
          <w:szCs w:val="19"/>
          <w:u w:val="single" w:color="auto"/>
          <w:color w:val="auto"/>
        </w:rPr>
        <w:t>Section 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or otherwise) prior to the time expressly required hereunder or under such other Loan Document for such payment (or, if no such time is expressly required, prior to 3:00 p.m. (New York City time (or, in the case of an Alternative Currency, London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for the applicable currency, except payments to be made directly to the applicable Issuing Bank as expressly provided herein and except that payments pursuant to </w:t>
      </w:r>
      <w:r>
        <w:rPr>
          <w:rFonts w:ascii="Times New Roman" w:cs="Times New Roman" w:eastAsia="Times New Roman" w:hAnsi="Times New Roman"/>
          <w:sz w:val="19"/>
          <w:szCs w:val="19"/>
          <w:u w:val="single" w:color="auto"/>
          <w:color w:val="auto"/>
        </w:rPr>
        <w:t>Sections 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w:t>
      </w:r>
    </w:p>
    <w:p>
      <w:pPr>
        <w:spacing w:after="0" w:line="10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480"/>
          </w:cols>
          <w:pgMar w:left="980" w:top="265" w:right="439" w:bottom="1440" w:gutter="0" w:footer="0" w:header="0"/>
        </w:sectPr>
      </w:pPr>
    </w:p>
    <w:bookmarkStart w:id="92" w:name="page93"/>
    <w:bookmarkEnd w:id="92"/>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spacing w:after="0" w:line="186" w:lineRule="exact"/>
        <w:rPr>
          <w:sz w:val="20"/>
          <w:szCs w:val="20"/>
          <w:color w:val="auto"/>
        </w:rPr>
      </w:pPr>
    </w:p>
    <w:p>
      <w:pPr>
        <w:jc w:val="both"/>
        <w:ind w:firstLine="530"/>
        <w:spacing w:after="0" w:line="245" w:lineRule="auto"/>
        <w:tabs>
          <w:tab w:leader="none" w:pos="812"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2.16(e)</w:t>
      </w:r>
      <w:r>
        <w:rPr>
          <w:rFonts w:ascii="Times New Roman" w:cs="Times New Roman" w:eastAsia="Times New Roman" w:hAnsi="Times New Roman"/>
          <w:sz w:val="20"/>
          <w:szCs w:val="20"/>
          <w:color w:val="auto"/>
        </w:rPr>
        <w:t xml:space="preserve">, if at any time insufficient funds are received by and available to the Administrative Agent to pay fully all amounts of principal, unreimbursed LC Borrowings and LC Disbursements,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spacing w:after="0" w:line="184" w:lineRule="exact"/>
        <w:rPr>
          <w:rFonts w:ascii="Times New Roman" w:cs="Times New Roman" w:eastAsia="Times New Roman" w:hAnsi="Times New Roman"/>
          <w:sz w:val="20"/>
          <w:szCs w:val="20"/>
          <w:color w:val="auto"/>
        </w:rPr>
      </w:pPr>
    </w:p>
    <w:p>
      <w:pPr>
        <w:jc w:val="both"/>
        <w:ind w:firstLine="530"/>
        <w:spacing w:after="0" w:line="254" w:lineRule="auto"/>
        <w:tabs>
          <w:tab w:leader="none" w:pos="837" w:val="left"/>
        </w:tabs>
        <w:numPr>
          <w:ilvl w:val="1"/>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2.16(e)</w:t>
      </w:r>
      <w:r>
        <w:rPr>
          <w:rFonts w:ascii="Times New Roman" w:cs="Times New Roman" w:eastAsia="Times New Roman" w:hAnsi="Times New Roman"/>
          <w:sz w:val="19"/>
          <w:szCs w:val="19"/>
          <w:color w:val="auto"/>
        </w:rPr>
        <w:t xml:space="preserve">, if any Lender under the Revolving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then the Lender receiving such greater proportion shall purchase (for cash at face value) participations in the Revolving Loans and participations in LC Disbursements of other Lenders to the extent necessary so that the benefit of all such payments shall be shared by the Lenders ratably in accordance with the aggregate amount of principal of and accrued interest on their respective Revolving Loans and participations in LC Disbursements;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w:t>
      </w:r>
    </w:p>
    <w:p>
      <w:pPr>
        <w:spacing w:after="0" w:line="6" w:lineRule="exact"/>
        <w:rPr>
          <w:rFonts w:ascii="Times New Roman" w:cs="Times New Roman" w:eastAsia="Times New Roman" w:hAnsi="Times New Roman"/>
          <w:sz w:val="19"/>
          <w:szCs w:val="19"/>
          <w:color w:val="auto"/>
        </w:rPr>
      </w:pPr>
    </w:p>
    <w:p>
      <w:pPr>
        <w:jc w:val="both"/>
        <w:ind w:firstLine="7"/>
        <w:spacing w:after="0"/>
        <w:tabs>
          <w:tab w:leader="none" w:pos="31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0" w:lineRule="exact"/>
        <w:rPr>
          <w:rFonts w:ascii="Times New Roman" w:cs="Times New Roman" w:eastAsia="Times New Roman" w:hAnsi="Times New Roman"/>
          <w:sz w:val="20"/>
          <w:szCs w:val="20"/>
          <w:color w:val="auto"/>
        </w:rPr>
      </w:pPr>
    </w:p>
    <w:p>
      <w:pPr>
        <w:jc w:val="both"/>
        <w:ind w:firstLine="530"/>
        <w:spacing w:after="0" w:line="254" w:lineRule="auto"/>
        <w:tabs>
          <w:tab w:leader="none" w:pos="808"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Borrower prior to the date on which any payment is due to the Administrative Agent for the account of the Lenders or an Issuing Bank hereunder that the Borrower will not make such payment, the</w:t>
      </w:r>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480"/>
          </w:cols>
          <w:pgMar w:left="980" w:top="265" w:right="439" w:bottom="1440" w:gutter="0" w:footer="0" w:header="0"/>
        </w:sectPr>
      </w:pPr>
    </w:p>
    <w:bookmarkStart w:id="93" w:name="page94"/>
    <w:bookmarkEnd w:id="93"/>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may assume that the Borrower has made such payment on such date in accordance herewith and may, in reliance upon such assumption and in its sole discretion,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184" w:lineRule="exact"/>
        <w:rPr>
          <w:sz w:val="20"/>
          <w:szCs w:val="20"/>
          <w:color w:val="auto"/>
        </w:rPr>
      </w:pPr>
    </w:p>
    <w:p>
      <w:pPr>
        <w:jc w:val="both"/>
        <w:ind w:firstLine="530"/>
        <w:spacing w:after="0" w:line="249" w:lineRule="auto"/>
        <w:tabs>
          <w:tab w:leader="none" w:pos="80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shall fail to make any payment required to be made by it pursuant to Section 2.05(c), 2.03(b),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Mitigation Obligations; Replacement of Lenders.</w:t>
      </w:r>
    </w:p>
    <w:p>
      <w:pPr>
        <w:spacing w:after="0" w:line="216" w:lineRule="exact"/>
        <w:rPr>
          <w:sz w:val="20"/>
          <w:szCs w:val="20"/>
          <w:color w:val="auto"/>
        </w:rPr>
      </w:pPr>
    </w:p>
    <w:p>
      <w:pPr>
        <w:jc w:val="both"/>
        <w:ind w:firstLine="530"/>
        <w:spacing w:after="0" w:line="244" w:lineRule="auto"/>
        <w:tabs>
          <w:tab w:leader="none" w:pos="802"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as the case may be, in the future and</w:t>
      </w:r>
    </w:p>
    <w:p>
      <w:pPr>
        <w:jc w:val="both"/>
        <w:ind w:firstLine="7"/>
        <w:spacing w:after="0" w:line="242" w:lineRule="auto"/>
        <w:tabs>
          <w:tab w:leader="none" w:pos="30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would not subject such Lender to any unreimbursed cost or expense and would not be inconsistent with its internal policies or otherwise be materially disadvantageous to such Lender. The Borrower hereby agrees to pay all reasonable costs and expenses incurred by any Lender in connection with any such designation or assignment.</w:t>
      </w:r>
    </w:p>
    <w:p>
      <w:pPr>
        <w:spacing w:after="0" w:line="186" w:lineRule="exact"/>
        <w:rPr>
          <w:rFonts w:ascii="Times New Roman" w:cs="Times New Roman" w:eastAsia="Times New Roman" w:hAnsi="Times New Roman"/>
          <w:sz w:val="20"/>
          <w:szCs w:val="20"/>
          <w:color w:val="auto"/>
        </w:rPr>
      </w:pPr>
    </w:p>
    <w:p>
      <w:pPr>
        <w:jc w:val="both"/>
        <w:ind w:firstLine="530"/>
        <w:spacing w:after="0" w:line="241" w:lineRule="auto"/>
        <w:tabs>
          <w:tab w:leader="none" w:pos="813"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if the Borrower is required to pay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if any Lender becomes a Defaulting Lender, then the Borrower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xml:space="preserve"> and (iv) in the case of any such assignment resulting from a claim for compensation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the circumstances entitling the Borrower to require such assignment and delegation cease to apply. Additionally, at any time that a Lender is a Defaulting</w:t>
      </w:r>
    </w:p>
    <w:p>
      <w:pPr>
        <w:spacing w:after="0" w:line="12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480"/>
          </w:cols>
          <w:pgMar w:left="980" w:top="265" w:right="439" w:bottom="1440" w:gutter="0" w:footer="0" w:header="0"/>
        </w:sectPr>
      </w:pPr>
    </w:p>
    <w:bookmarkStart w:id="94" w:name="page95"/>
    <w:bookmarkEnd w:id="94"/>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the Borrower may elect to terminate the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 xml:space="preserve">Section 2.18 </w:t>
      </w:r>
      <w:r>
        <w:rPr>
          <w:rFonts w:ascii="Times New Roman" w:cs="Times New Roman" w:eastAsia="Times New Roman" w:hAnsi="Times New Roman"/>
          <w:sz w:val="20"/>
          <w:szCs w:val="20"/>
          <w:u w:val="single" w:color="auto"/>
          <w:color w:val="auto"/>
        </w:rPr>
        <w:t>Incremental Revolving Commitments.</w:t>
      </w:r>
    </w:p>
    <w:p>
      <w:pPr>
        <w:spacing w:after="0" w:line="216" w:lineRule="exact"/>
        <w:rPr>
          <w:sz w:val="20"/>
          <w:szCs w:val="20"/>
          <w:color w:val="auto"/>
        </w:rPr>
      </w:pPr>
    </w:p>
    <w:p>
      <w:pPr>
        <w:jc w:val="both"/>
        <w:ind w:firstLine="530"/>
        <w:spacing w:after="0" w:line="243" w:lineRule="auto"/>
        <w:tabs>
          <w:tab w:leader="none" w:pos="81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w:t>
      </w: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 and, at the Borrower’s option, increase the Swing Line Facility and the Letter of Credit Sublimit on a ratable basis (with the consent of the Swing Line Lender and the Issuing Banks, respectively). Notwithstanding anything to the contrary herein, the aggregate principal amount of the Incremental Revolving Commitments shall not exceed $250,000,000. Each exercise of the Borrower’s right to seek Incremental Revolving Commitments shall be in an integral multiple of $1,000,000 and be in an aggregate principal amount that is not less than $25,000,000 (or such lesser amount approved by the Administrative Agent).</w:t>
      </w:r>
    </w:p>
    <w:p>
      <w:pPr>
        <w:spacing w:after="0" w:line="189" w:lineRule="exact"/>
        <w:rPr>
          <w:rFonts w:ascii="Times New Roman" w:cs="Times New Roman" w:eastAsia="Times New Roman" w:hAnsi="Times New Roman"/>
          <w:sz w:val="20"/>
          <w:szCs w:val="20"/>
          <w:color w:val="auto"/>
        </w:rPr>
      </w:pPr>
    </w:p>
    <w:p>
      <w:pPr>
        <w:jc w:val="both"/>
        <w:ind w:firstLine="530"/>
        <w:spacing w:after="0" w:line="241" w:lineRule="auto"/>
        <w:tabs>
          <w:tab w:leader="none" w:pos="80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notice from the Borrower pursuant to this Section shall set forth the requested amount and the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shall be reasonably satisfactory to the Borrower, the Administrative Agent, the Swing Line Lender and each Issuing Bank and, if not already a Lender, shall become a Lender under this Agreement pursuant to an amendment (an “</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(including to provide for voting provisions applicable to the Additional Lenders comparable to the provisions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second proviso of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The effectiveness of any Incremental Facility Amendment shall be subject to the satisfaction on the date thereof (each, an “</w:t>
      </w:r>
      <w:r>
        <w:rPr>
          <w:rFonts w:ascii="Times New Roman" w:cs="Times New Roman" w:eastAsia="Times New Roman" w:hAnsi="Times New Roman"/>
          <w:sz w:val="20"/>
          <w:szCs w:val="20"/>
          <w:u w:val="single" w:color="auto"/>
          <w:color w:val="auto"/>
        </w:rPr>
        <w:t>Incremental Facility Closing Date</w:t>
      </w:r>
      <w:r>
        <w:rPr>
          <w:rFonts w:ascii="Times New Roman" w:cs="Times New Roman" w:eastAsia="Times New Roman" w:hAnsi="Times New Roman"/>
          <w:sz w:val="20"/>
          <w:szCs w:val="20"/>
          <w:color w:val="auto"/>
        </w:rPr>
        <w:t xml:space="preserve">”) of each of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(it being understood that all references to “the date of such Borrowing”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shall be deemed to refer to the Incremental Facility Closing Date).</w:t>
      </w:r>
    </w:p>
    <w:p>
      <w:pPr>
        <w:spacing w:after="0" w:line="195" w:lineRule="exact"/>
        <w:rPr>
          <w:rFonts w:ascii="Times New Roman" w:cs="Times New Roman" w:eastAsia="Times New Roman" w:hAnsi="Times New Roman"/>
          <w:sz w:val="20"/>
          <w:szCs w:val="20"/>
          <w:color w:val="auto"/>
        </w:rPr>
      </w:pPr>
    </w:p>
    <w:p>
      <w:pPr>
        <w:jc w:val="both"/>
        <w:ind w:right="20" w:firstLine="530"/>
        <w:spacing w:after="0" w:line="254" w:lineRule="auto"/>
        <w:tabs>
          <w:tab w:leader="none" w:pos="82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provisions and documentation of Incremental Revolving Commitments shall be, identical to the existing Revolving Commitments existing on the closing date of such Incremental Facility Amendment (other than with respect to upfront fees applicable to such Incremental Revolving Commitments).</w:t>
      </w:r>
    </w:p>
    <w:p>
      <w:pPr>
        <w:spacing w:after="0" w:line="10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480"/>
          </w:cols>
          <w:pgMar w:left="980" w:top="265" w:right="439" w:bottom="1440" w:gutter="0" w:footer="0" w:header="0"/>
        </w:sectPr>
      </w:pPr>
    </w:p>
    <w:bookmarkStart w:id="95" w:name="page96"/>
    <w:bookmarkEnd w:id="95"/>
    <w:p>
      <w:pPr>
        <w:ind w:left="154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2.19 </w:t>
      </w:r>
      <w:r>
        <w:rPr>
          <w:rFonts w:ascii="Times New Roman" w:cs="Times New Roman" w:eastAsia="Times New Roman" w:hAnsi="Times New Roman"/>
          <w:sz w:val="20"/>
          <w:szCs w:val="20"/>
          <w:u w:val="single" w:color="auto"/>
          <w:color w:val="auto"/>
        </w:rPr>
        <w:t>Extension Option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4" w:right="20" w:firstLine="724"/>
        <w:spacing w:after="0" w:line="249" w:lineRule="auto"/>
        <w:tabs>
          <w:tab w:leader="none" w:pos="175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by notice to the Administrative Agent (which shall promptly notify the Lenders) not more than 60 days and not less than 30 days prior to any two anniversaries of the Closing Date (each such anniversary, an “</w:t>
      </w:r>
      <w:r>
        <w:rPr>
          <w:rFonts w:ascii="Times New Roman" w:cs="Times New Roman" w:eastAsia="Times New Roman" w:hAnsi="Times New Roman"/>
          <w:sz w:val="20"/>
          <w:szCs w:val="20"/>
          <w:u w:val="single" w:color="auto"/>
          <w:color w:val="auto"/>
        </w:rPr>
        <w:t>Anniversary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request that the Lenders extend the Maturity Date applicable to their Revolving Commitments for an additional one-year period from the Commitment Termination Date then in effect hereunder (the “</w:t>
      </w:r>
      <w:r>
        <w:rPr>
          <w:rFonts w:ascii="Times New Roman" w:cs="Times New Roman" w:eastAsia="Times New Roman" w:hAnsi="Times New Roman"/>
          <w:sz w:val="20"/>
          <w:szCs w:val="20"/>
          <w:u w:val="single" w:color="auto"/>
          <w:color w:val="auto"/>
        </w:rPr>
        <w:t>Existing Commitment Termination Date</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64" w:firstLine="724"/>
        <w:spacing w:after="0" w:line="243" w:lineRule="auto"/>
        <w:tabs>
          <w:tab w:leader="none" w:pos="176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Lender, acting in its sole discretion, shall, by notice to the Borrower and the Administrative Agent given no later than the date (herein, the “</w:t>
      </w:r>
      <w:r>
        <w:rPr>
          <w:rFonts w:ascii="Times New Roman" w:cs="Times New Roman" w:eastAsia="Times New Roman" w:hAnsi="Times New Roman"/>
          <w:sz w:val="20"/>
          <w:szCs w:val="20"/>
          <w:u w:val="single" w:color="auto"/>
          <w:color w:val="auto"/>
        </w:rPr>
        <w:t>Consent Date</w:t>
      </w:r>
      <w:r>
        <w:rPr>
          <w:rFonts w:ascii="Times New Roman" w:cs="Times New Roman" w:eastAsia="Times New Roman" w:hAnsi="Times New Roman"/>
          <w:sz w:val="20"/>
          <w:szCs w:val="20"/>
          <w:color w:val="auto"/>
        </w:rPr>
        <w:t xml:space="preserve">”) that is 20 days after the date of the extension request (or, if such date is not a Business Day, the next succeeding Business Day), advise the Borrower and the Administrative Agent whether or not such Lender agrees to such extension;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each Lender that determines not to so extend the Commitment Termination Date (a “</w:t>
      </w:r>
      <w:r>
        <w:rPr>
          <w:rFonts w:ascii="Times New Roman" w:cs="Times New Roman" w:eastAsia="Times New Roman" w:hAnsi="Times New Roman"/>
          <w:sz w:val="20"/>
          <w:szCs w:val="20"/>
          <w:u w:val="single" w:color="auto"/>
          <w:color w:val="auto"/>
        </w:rPr>
        <w:t>Non-Extending Lender</w:t>
      </w:r>
      <w:r>
        <w:rPr>
          <w:rFonts w:ascii="Times New Roman" w:cs="Times New Roman" w:eastAsia="Times New Roman" w:hAnsi="Times New Roman"/>
          <w:sz w:val="20"/>
          <w:szCs w:val="20"/>
          <w:color w:val="auto"/>
        </w:rPr>
        <w:t>”) shall notify the Administrative Agent (which shall notify the other Lenders) of such fact promptly after such determination (but in any event no later than the Consent Date) and any Lender that does not so advise the Borrower on or before the Consent Date shall be deemed to be a Non-Extending Lender. The election of any Lender to agree to such extension shall not obligate any other Lender to so agree.</w:t>
      </w:r>
    </w:p>
    <w:p>
      <w:pPr>
        <w:spacing w:after="0" w:line="189" w:lineRule="exact"/>
        <w:rPr>
          <w:rFonts w:ascii="Times New Roman" w:cs="Times New Roman" w:eastAsia="Times New Roman" w:hAnsi="Times New Roman"/>
          <w:sz w:val="20"/>
          <w:szCs w:val="20"/>
          <w:color w:val="auto"/>
        </w:rPr>
      </w:pPr>
    </w:p>
    <w:p>
      <w:pPr>
        <w:jc w:val="both"/>
        <w:ind w:left="764" w:right="20" w:firstLine="724"/>
        <w:spacing w:after="0" w:line="254" w:lineRule="auto"/>
        <w:tabs>
          <w:tab w:leader="none" w:pos="175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notify the Borrower of each Lender’s determination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no later than the date 25 days after the date of the extension request (or, if such date is not a Business Day, on the next preceding Business Day).</w:t>
      </w:r>
    </w:p>
    <w:p>
      <w:pPr>
        <w:spacing w:after="0" w:line="174" w:lineRule="exact"/>
        <w:rPr>
          <w:rFonts w:ascii="Times New Roman" w:cs="Times New Roman" w:eastAsia="Times New Roman" w:hAnsi="Times New Roman"/>
          <w:sz w:val="20"/>
          <w:szCs w:val="20"/>
          <w:color w:val="auto"/>
        </w:rPr>
      </w:pPr>
    </w:p>
    <w:p>
      <w:pPr>
        <w:jc w:val="both"/>
        <w:ind w:left="764" w:firstLine="724"/>
        <w:spacing w:after="0" w:line="243" w:lineRule="auto"/>
        <w:tabs>
          <w:tab w:leader="none" w:pos="176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and only if the total of the Revolving Commitments of the Lenders that have agreed to extend their Commitment Termination Date (after giving effect to any Lenders that agree to become Lenders in connection with any extension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be more than 50% of the aggregate Revolving Commitments in effect immediately prior to the applicable Anniversary Date, then, effective as of such Anniversary Date, the Commitment Termination Date of each extending Lender shall be extended automatically, without any other action by any Person, to the date that is one year after the Existing Commitment Termination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 the Consent Date,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 The Administrative Agent will promptly notify the Borrower and the Lenders of each extension of the Commitment Termination Date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ARTICLE III.</w:t>
      </w:r>
    </w:p>
    <w:p>
      <w:pPr>
        <w:spacing w:after="0" w:line="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194" w:lineRule="exact"/>
        <w:rPr>
          <w:sz w:val="20"/>
          <w:szCs w:val="20"/>
          <w:color w:val="auto"/>
        </w:rPr>
      </w:pPr>
    </w:p>
    <w:p>
      <w:pPr>
        <w:ind w:left="764"/>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w:t>
      </w:r>
    </w:p>
    <w:p>
      <w:pPr>
        <w:spacing w:after="0" w:line="216"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of the Borrower, the Guarantors and the Material Restricted Subsidiaries</w:t>
      </w:r>
    </w:p>
    <w:p>
      <w:pPr>
        <w:spacing w:after="0" w:line="22" w:lineRule="exact"/>
        <w:rPr>
          <w:sz w:val="20"/>
          <w:szCs w:val="20"/>
          <w:color w:val="auto"/>
        </w:rPr>
      </w:pPr>
    </w:p>
    <w:p>
      <w:pPr>
        <w:jc w:val="both"/>
        <w:ind w:left="4" w:hanging="4"/>
        <w:spacing w:after="0"/>
        <w:tabs>
          <w:tab w:leader="none" w:pos="29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Material Adverse Effect and (c) is 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1024"/>
          </w:cols>
          <w:pgMar w:left="436" w:top="265" w:right="439" w:bottom="1440" w:gutter="0" w:footer="0" w:header="0"/>
        </w:sectPr>
      </w:pPr>
    </w:p>
    <w:bookmarkStart w:id="96" w:name="page97"/>
    <w:bookmarkEnd w:id="96"/>
    <w:p>
      <w:pPr>
        <w:ind w:left="148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Times New Roman" w:cs="Times New Roman" w:eastAsia="Times New Roman" w:hAnsi="Times New Roman"/>
          <w:sz w:val="20"/>
          <w:szCs w:val="20"/>
          <w:u w:val="single" w:color="auto"/>
          <w:color w:val="auto"/>
        </w:rPr>
        <w:t>Authorization; Enforceability.</w:t>
      </w:r>
    </w:p>
    <w:p>
      <w:pPr>
        <w:spacing w:after="0" w:line="216" w:lineRule="exact"/>
        <w:rPr>
          <w:sz w:val="20"/>
          <w:szCs w:val="20"/>
          <w:color w:val="auto"/>
        </w:rPr>
      </w:pPr>
    </w:p>
    <w:p>
      <w:pPr>
        <w:jc w:val="both"/>
        <w:ind w:left="760" w:right="20" w:firstLine="724"/>
        <w:spacing w:after="0" w:line="254" w:lineRule="auto"/>
        <w:tabs>
          <w:tab w:leader="none" w:pos="1793"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to be entered into and the execution and delivery of this Agreement and each other Loan Document to which it is a party by each Loan Party are within such Loan Party’s corporate powers and have been or will by the time required be duly authorized by all necessary corporate or other action.</w:t>
      </w:r>
    </w:p>
    <w:p>
      <w:pPr>
        <w:spacing w:after="0" w:line="174" w:lineRule="exact"/>
        <w:rPr>
          <w:rFonts w:ascii="Times New Roman" w:cs="Times New Roman" w:eastAsia="Times New Roman" w:hAnsi="Times New Roman"/>
          <w:sz w:val="20"/>
          <w:szCs w:val="20"/>
          <w:color w:val="auto"/>
        </w:rPr>
      </w:pPr>
    </w:p>
    <w:p>
      <w:pPr>
        <w:jc w:val="both"/>
        <w:ind w:left="760" w:right="20" w:firstLine="724"/>
        <w:spacing w:after="0" w:line="246" w:lineRule="auto"/>
        <w:tabs>
          <w:tab w:leader="none" w:pos="178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each Loan Party and constitutes, and each other Loan Document to which such Loan Party is to be a party, when executed and delivered by such Loan Party, will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5"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xml:space="preserve">. The Transactions and the execution and delivery of this Agreement by each Loan Party (a) 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any Loan Party, (c) will not violate any Requirement of Law applicable to the Borrower, (d) will not violate or result in a default under any indenture, agreement or other instrument binding upon the Borrower or any Restricted Subsidiary or their respective assets, or give rise to a right thereunder to require any payment to be made by the Borrower or any Restricted Subsidiary or give rise to a right of, or result in, termination, cancellation or acceleration of any obligation thereunder, and (e) will not result in the creation or imposition of any Lien on any asset of the Borrower or any Restricted Subsidiary, except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except, in the case of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for any such violations, defaults or rights that, would not reasonably be expected to have a Material Adverse Effect.</w:t>
      </w:r>
    </w:p>
    <w:p>
      <w:pPr>
        <w:spacing w:after="0" w:line="19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p>
    <w:p>
      <w:pPr>
        <w:spacing w:after="0" w:line="216" w:lineRule="exact"/>
        <w:rPr>
          <w:sz w:val="20"/>
          <w:szCs w:val="20"/>
          <w:color w:val="auto"/>
        </w:rPr>
      </w:pPr>
    </w:p>
    <w:p>
      <w:pPr>
        <w:jc w:val="both"/>
        <w:ind w:left="760" w:right="20" w:firstLine="724"/>
        <w:spacing w:after="0" w:line="254" w:lineRule="auto"/>
        <w:tabs>
          <w:tab w:leader="none" w:pos="178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Historical Financial Statements present fairly, in all material respects, the financial position and results of operations and cash flows of the Borrower and its Subsidiaries as of such dates and for such periods in accordance with GAAP consistently applied.</w:t>
      </w:r>
    </w:p>
    <w:p>
      <w:pPr>
        <w:spacing w:after="0" w:line="17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87"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change or condition has occurred that has had, or would reasonably be expected to have, a Material Adverse Effect since December 31, 2018.</w:t>
      </w:r>
    </w:p>
    <w:p>
      <w:pPr>
        <w:spacing w:after="0" w:line="15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3.05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 Except as would not reasonably be expected to have a Material Adverse Effect:</w:t>
      </w:r>
    </w:p>
    <w:p>
      <w:pPr>
        <w:spacing w:after="0" w:line="216" w:lineRule="exact"/>
        <w:rPr>
          <w:sz w:val="20"/>
          <w:szCs w:val="20"/>
          <w:color w:val="auto"/>
        </w:rPr>
      </w:pPr>
    </w:p>
    <w:p>
      <w:pPr>
        <w:jc w:val="both"/>
        <w:ind w:left="760" w:firstLine="724"/>
        <w:spacing w:after="0" w:line="254" w:lineRule="auto"/>
        <w:tabs>
          <w:tab w:leader="none" w:pos="175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the Restricted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spacing w:after="0" w:line="174"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58"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Restricted Subsidiaries own, or are licensed to use, all IP Rights material to the business of the Borrower and the Restricted Subsidiaries, taken as a whole, and the operation of their respective businesses, including the use of IP Rights by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1020"/>
          </w:cols>
          <w:pgMar w:left="440" w:top="265" w:right="439" w:bottom="1440" w:gutter="0" w:footer="0" w:header="0"/>
        </w:sectPr>
      </w:pPr>
    </w:p>
    <w:bookmarkStart w:id="97" w:name="page98"/>
    <w:bookmarkEnd w:id="97"/>
    <w:p>
      <w:pPr>
        <w:ind w:left="764"/>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or such Restricted Subsidiary, as applicable, does not infringe upon, misappropriate or violate the rights of any other Person.</w:t>
      </w:r>
    </w:p>
    <w:p>
      <w:pPr>
        <w:spacing w:after="0" w:line="159" w:lineRule="exact"/>
        <w:rPr>
          <w:sz w:val="20"/>
          <w:szCs w:val="20"/>
          <w:color w:val="auto"/>
        </w:rPr>
      </w:pPr>
    </w:p>
    <w:p>
      <w:pPr>
        <w:ind w:left="1544"/>
        <w:spacing w:after="0"/>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Litigation and Environmental Matters.</w:t>
      </w:r>
    </w:p>
    <w:p>
      <w:pPr>
        <w:spacing w:after="0" w:line="216" w:lineRule="exact"/>
        <w:rPr>
          <w:sz w:val="20"/>
          <w:szCs w:val="20"/>
          <w:color w:val="auto"/>
        </w:rPr>
      </w:pPr>
    </w:p>
    <w:p>
      <w:pPr>
        <w:jc w:val="both"/>
        <w:ind w:left="764" w:right="20" w:firstLine="724"/>
        <w:spacing w:after="0" w:line="249" w:lineRule="auto"/>
        <w:tabs>
          <w:tab w:leader="none" w:pos="175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the Borrower, threatened against the Borrower or any Restricted Subsidiary as to which there is a reasonable possibility of an adverse determination and that, if adversely determined, would reasonably be expected to have a Material Adverse Effect (other than the Disclosed Matters).</w:t>
      </w:r>
    </w:p>
    <w:p>
      <w:pPr>
        <w:spacing w:after="0" w:line="179" w:lineRule="exact"/>
        <w:rPr>
          <w:rFonts w:ascii="Times New Roman" w:cs="Times New Roman" w:eastAsia="Times New Roman" w:hAnsi="Times New Roman"/>
          <w:sz w:val="20"/>
          <w:szCs w:val="20"/>
          <w:color w:val="auto"/>
        </w:rPr>
      </w:pPr>
    </w:p>
    <w:p>
      <w:pPr>
        <w:jc w:val="both"/>
        <w:ind w:left="764" w:firstLine="724"/>
        <w:spacing w:after="0" w:line="246" w:lineRule="auto"/>
        <w:tabs>
          <w:tab w:leader="none" w:pos="176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for the Disclosed Matters and except with respect to any other matters that would not reasonably be expected to have a Material Adverse Effect, neither the Borrower nor any Restricted Subsidiary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85" w:lineRule="exact"/>
        <w:rPr>
          <w:sz w:val="20"/>
          <w:szCs w:val="20"/>
          <w:color w:val="auto"/>
        </w:rPr>
      </w:pPr>
    </w:p>
    <w:p>
      <w:pPr>
        <w:jc w:val="both"/>
        <w:ind w:left="4"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3.07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Each of the Borrower and the Restricted Subsidiaries is in compliance with all Requirements of Law applicable to it or its property, except where the failure to do so would not reasonably be expected to have a Material Adverse Effect.</w:t>
      </w:r>
    </w:p>
    <w:p>
      <w:pPr>
        <w:spacing w:after="0" w:line="174" w:lineRule="exact"/>
        <w:rPr>
          <w:sz w:val="20"/>
          <w:szCs w:val="20"/>
          <w:color w:val="auto"/>
        </w:rPr>
      </w:pPr>
    </w:p>
    <w:p>
      <w:pPr>
        <w:jc w:val="both"/>
        <w:ind w:left="4" w:firstLine="1542"/>
        <w:spacing w:after="0" w:line="269"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None of the Borrower or any Guarantor is required to be registered as an “investment company” under the Investment Company Act of 1940.</w:t>
      </w:r>
    </w:p>
    <w:p>
      <w:pPr>
        <w:spacing w:after="0" w:line="159" w:lineRule="exact"/>
        <w:rPr>
          <w:sz w:val="20"/>
          <w:szCs w:val="20"/>
          <w:color w:val="auto"/>
        </w:rPr>
      </w:pPr>
    </w:p>
    <w:p>
      <w:pPr>
        <w:jc w:val="both"/>
        <w:ind w:left="4" w:firstLine="1542"/>
        <w:spacing w:after="0" w:line="247"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Except (a) for failures that would not reasonably be expected to have a Material Adverse Effect and (b) with respect to Taxes that are being contested in good faith by appropriate proceedings for which adequate reserves have been provided on the books of the Borrower or its Subsidiaries in accordance with GAAP, the Borrower and each of its Subsidiaries has</w:t>
      </w:r>
    </w:p>
    <w:p>
      <w:pPr>
        <w:ind w:left="264" w:hanging="264"/>
        <w:spacing w:after="0"/>
        <w:tabs>
          <w:tab w:leader="none" w:pos="26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timely filed or caused to be filed (taking into account valid extensions) all Tax returns and reports required to have been filed, and</w:t>
      </w:r>
    </w:p>
    <w:p>
      <w:pPr>
        <w:ind w:left="284" w:hanging="284"/>
        <w:spacing w:after="0"/>
        <w:tabs>
          <w:tab w:leader="none" w:pos="2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paid or caused to be paid all Taxes required to have been paid by it (including any such Taxes in the capacity of a withholding agent).</w:t>
      </w:r>
    </w:p>
    <w:p>
      <w:pPr>
        <w:spacing w:after="0" w:line="194" w:lineRule="exact"/>
        <w:rPr>
          <w:sz w:val="20"/>
          <w:szCs w:val="20"/>
          <w:color w:val="auto"/>
        </w:rPr>
      </w:pPr>
    </w:p>
    <w:p>
      <w:pPr>
        <w:jc w:val="both"/>
        <w:ind w:left="4" w:right="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No ERISA Event has occurred or is reasonably expected to occur that, when taken together with all other such ERISA Events for which liability is reasonably expected to occur, would reasonably be expected to have a Material Adverse Effect. The minimum funding standards of ERISA and the Code with respect to each Plan have been satisfied except where a failure to meet such minimum funding standards would not reasonably be expected to have a Material Adverse Effect. There exists no Unfunded Pension Liability with respect to any Plan, except as would not reasonably be expected to have a Material Adverse Effect. Except as would not, either individually or in the aggregate, reasonably be expected to result in a Material Adverse Effect, each “employee benefit plan” (as such term is defined in Section 3(3) of ERISA, whether or not subject thereto) maintained by the Borrower or any ERISA Affiliate is in compliance with the applicable provisions of ERISA and the Code and the regulations and published interpretations thereunder and other federal, state or foreign Laws.</w:t>
      </w:r>
    </w:p>
    <w:p>
      <w:pPr>
        <w:spacing w:after="0" w:line="186" w:lineRule="exact"/>
        <w:rPr>
          <w:sz w:val="20"/>
          <w:szCs w:val="20"/>
          <w:color w:val="auto"/>
        </w:rPr>
      </w:pPr>
    </w:p>
    <w:p>
      <w:pPr>
        <w:jc w:val="both"/>
        <w:ind w:left="4"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024"/>
          </w:cols>
          <w:pgMar w:left="436" w:top="265" w:right="439" w:bottom="1440" w:gutter="0" w:footer="0" w:header="0"/>
        </w:sectPr>
      </w:pPr>
    </w:p>
    <w:bookmarkStart w:id="98" w:name="page99"/>
    <w:bookmarkEnd w:id="98"/>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so furnished and taken together as a whole) contains any untrue statement of material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such information consisting of projections, forecasts and other forward-looking statements with respect to the Borrower or any of its Subsidiaries (collectively,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the Borrower represents only that any such Projections have been prepared based upon good faith assumptions believed by it to be reasonable at the time prepared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spacing w:after="0" w:line="189" w:lineRule="exact"/>
        <w:rPr>
          <w:sz w:val="20"/>
          <w:szCs w:val="20"/>
          <w:color w:val="auto"/>
        </w:rPr>
      </w:pPr>
    </w:p>
    <w:p>
      <w:pPr>
        <w:jc w:val="both"/>
        <w:ind w:firstLine="1542"/>
        <w:spacing w:after="0" w:line="269"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Borrower believes that the insurance maintained by or on behalf of the Borrower and its Material Restricted Subsidiaries complies with the requirements set forth in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Federal Reserve Regulations.</w:t>
      </w:r>
    </w:p>
    <w:p>
      <w:pPr>
        <w:spacing w:after="0" w:line="216" w:lineRule="exact"/>
        <w:rPr>
          <w:sz w:val="20"/>
          <w:szCs w:val="20"/>
          <w:color w:val="auto"/>
        </w:rPr>
      </w:pPr>
    </w:p>
    <w:p>
      <w:pPr>
        <w:ind w:left="760" w:right="20" w:firstLine="724"/>
        <w:spacing w:after="0" w:line="269" w:lineRule="auto"/>
        <w:tabs>
          <w:tab w:leader="none" w:pos="175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is engaged principally, or as one of its important activities, in the business of extending credit for the purpose of buying or carrying Margin Stock.</w:t>
      </w:r>
    </w:p>
    <w:p>
      <w:pPr>
        <w:spacing w:after="0" w:line="159" w:lineRule="exact"/>
        <w:rPr>
          <w:rFonts w:ascii="Times New Roman" w:cs="Times New Roman" w:eastAsia="Times New Roman" w:hAnsi="Times New Roman"/>
          <w:sz w:val="20"/>
          <w:szCs w:val="20"/>
          <w:color w:val="auto"/>
        </w:rPr>
      </w:pPr>
    </w:p>
    <w:p>
      <w:pPr>
        <w:ind w:left="760" w:firstLine="724"/>
        <w:spacing w:after="0" w:line="269" w:lineRule="auto"/>
        <w:tabs>
          <w:tab w:leader="none" w:pos="177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Taking into account all of the Transactions, no part of the proceeds of the Loans will be used for any purpose that violates the provisions of the Regulations of the Board, including Regulation T, U or X.</w:t>
      </w:r>
    </w:p>
    <w:p>
      <w:pPr>
        <w:spacing w:after="0" w:line="159" w:lineRule="exact"/>
        <w:rPr>
          <w:sz w:val="20"/>
          <w:szCs w:val="20"/>
          <w:color w:val="auto"/>
        </w:rPr>
      </w:pPr>
    </w:p>
    <w:p>
      <w:pPr>
        <w:jc w:val="both"/>
        <w:ind w:firstLine="1542"/>
        <w:spacing w:after="0" w:line="274" w:lineRule="auto"/>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OFAC</w:t>
      </w:r>
      <w:r>
        <w:rPr>
          <w:rFonts w:ascii="Times New Roman" w:cs="Times New Roman" w:eastAsia="Times New Roman" w:hAnsi="Times New Roman"/>
          <w:sz w:val="19"/>
          <w:szCs w:val="19"/>
          <w:color w:val="auto"/>
        </w:rPr>
        <w:t>. Neither the Borrower, nor any of its Subsidiaries, nor, to the knowledge of the Borrower and its Subsidiaries, any director, officer, employee, agent, or representative thereof, is an individual or entity that is, or is owned or controlled by any individual or entity that is (i) currently the subject of any Sanctions or (ii) located, organized or resident in a Designated Jurisdiction.</w:t>
      </w:r>
    </w:p>
    <w:p>
      <w:pPr>
        <w:spacing w:after="0" w:line="156" w:lineRule="exact"/>
        <w:rPr>
          <w:sz w:val="20"/>
          <w:szCs w:val="20"/>
          <w:color w:val="auto"/>
        </w:rPr>
      </w:pPr>
    </w:p>
    <w:p>
      <w:pPr>
        <w:jc w:val="both"/>
        <w:ind w:right="20" w:firstLine="1542"/>
        <w:spacing w:after="0" w:line="274" w:lineRule="auto"/>
        <w:rPr>
          <w:sz w:val="20"/>
          <w:szCs w:val="20"/>
          <w:color w:val="auto"/>
        </w:rPr>
      </w:pPr>
      <w:r>
        <w:rPr>
          <w:rFonts w:ascii="Times New Roman" w:cs="Times New Roman" w:eastAsia="Times New Roman" w:hAnsi="Times New Roman"/>
          <w:sz w:val="19"/>
          <w:szCs w:val="19"/>
          <w:color w:val="auto"/>
        </w:rPr>
        <w:t xml:space="preserve">Section 3.15 </w:t>
      </w:r>
      <w:r>
        <w:rPr>
          <w:rFonts w:ascii="Times New Roman" w:cs="Times New Roman" w:eastAsia="Times New Roman" w:hAnsi="Times New Roman"/>
          <w:sz w:val="19"/>
          <w:szCs w:val="19"/>
          <w:u w:val="single" w:color="auto"/>
          <w:color w:val="auto"/>
        </w:rPr>
        <w:t>Anti-Corruption Laws and Patriot Act</w:t>
      </w:r>
      <w:r>
        <w:rPr>
          <w:rFonts w:ascii="Times New Roman" w:cs="Times New Roman" w:eastAsia="Times New Roman" w:hAnsi="Times New Roman"/>
          <w:sz w:val="19"/>
          <w:szCs w:val="19"/>
          <w:color w:val="auto"/>
        </w:rPr>
        <w:t>.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w:t>
      </w:r>
    </w:p>
    <w:p>
      <w:pPr>
        <w:spacing w:after="0" w:line="1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3.16 </w:t>
      </w:r>
      <w:r>
        <w:rPr>
          <w:rFonts w:ascii="Times New Roman" w:cs="Times New Roman" w:eastAsia="Times New Roman" w:hAnsi="Times New Roman"/>
          <w:sz w:val="20"/>
          <w:szCs w:val="20"/>
          <w:u w:val="single" w:color="auto"/>
          <w:color w:val="auto"/>
        </w:rPr>
        <w:t>Security Documents.</w:t>
      </w:r>
    </w:p>
    <w:p>
      <w:pPr>
        <w:spacing w:after="0" w:line="216" w:lineRule="exact"/>
        <w:rPr>
          <w:sz w:val="20"/>
          <w:szCs w:val="20"/>
          <w:color w:val="auto"/>
        </w:rPr>
      </w:pPr>
    </w:p>
    <w:p>
      <w:pPr>
        <w:jc w:val="both"/>
        <w:ind w:left="760" w:right="20" w:firstLine="724"/>
        <w:spacing w:after="0" w:line="257" w:lineRule="auto"/>
        <w:tabs>
          <w:tab w:leader="none" w:pos="1759"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Valid Liens</w:t>
      </w:r>
      <w:r>
        <w:rPr>
          <w:rFonts w:ascii="Times New Roman" w:cs="Times New Roman" w:eastAsia="Times New Roman" w:hAnsi="Times New Roman"/>
          <w:sz w:val="19"/>
          <w:szCs w:val="19"/>
          <w:color w:val="auto"/>
        </w:rPr>
        <w:t>. Each Collateral Document delivered pursuant to Section 4.01 and Sections 5.10 and 5.11 will, upon execution and delivery thereof, be effective to create in favor of the Collateral Agent for the benefit of the Secured Parties, legal, valid and enforceable Liens on, and security interests in, the Collateral described therein to the extent intended to be created thereby, and (i) when financing statements and other filings in appropriate form are filed in the offices specified on Schedule 4 to the Perfection Certificate and (ii)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Security Agreement), the Liens created by the Collateral Documents shall constitute fully perfected Liens on, and security interests in (to the extent intended to be created thereby), all right, title and interest of the grantors in such Collateral to the extent perfection can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ectPr>
          <w:pgSz w:w="11900" w:h="16838" w:orient="portrait"/>
          <w:cols w:equalWidth="0" w:num="1">
            <w:col w:w="11020"/>
          </w:cols>
          <w:pgMar w:left="440" w:top="265" w:right="439" w:bottom="1440" w:gutter="0" w:footer="0" w:header="0"/>
        </w:sectPr>
      </w:pPr>
    </w:p>
    <w:bookmarkStart w:id="99" w:name="page100"/>
    <w:bookmarkEnd w:id="99"/>
    <w:p>
      <w:pPr>
        <w:ind w:left="76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obtained by filing financing statements or the taking of possession or control, in each case subject to no Liens other than Liens permitted by Section 6.02.</w:t>
      </w:r>
    </w:p>
    <w:p>
      <w:pPr>
        <w:spacing w:after="0" w:line="159" w:lineRule="exact"/>
        <w:rPr>
          <w:sz w:val="20"/>
          <w:szCs w:val="20"/>
          <w:color w:val="auto"/>
        </w:rPr>
      </w:pPr>
    </w:p>
    <w:p>
      <w:pPr>
        <w:jc w:val="both"/>
        <w:ind w:left="760" w:right="20" w:firstLine="724"/>
        <w:spacing w:after="0" w:line="242" w:lineRule="auto"/>
        <w:tabs>
          <w:tab w:leader="none" w:pos="175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PTO Filing; Copyright Office Filing</w:t>
      </w:r>
      <w:r>
        <w:rPr>
          <w:rFonts w:ascii="Times New Roman" w:cs="Times New Roman" w:eastAsia="Times New Roman" w:hAnsi="Times New Roman"/>
          <w:sz w:val="20"/>
          <w:szCs w:val="20"/>
          <w:color w:val="auto"/>
        </w:rPr>
        <w:t>. When the Intellectual Property Security Agreements are properly filed in the United States Patent and Trademark Office and the United States Copyright Office, as applicable, to the extent such filings may perfect such interests, the Liens created by the Security Agreement shall constitute fully perfected Liens on, and security interests in, all right, title and interest of the grantors thereunder in Patents and Trademarks (each as defined in the Security Agreement) registered or applied for with the United States Patent and Trademark Office and Copyrights (as defined in the Security Agreement) registered or applied for with the United States Copyright Office, as the case may be, in each case subject to no Liens other than Liens permitted hereunder (it being understood that subsequent recordings in the United States Patent and Trademark Office and the United States Copyright Office may be necessary to perfect the Collateral Agent’s Lien on registered Patents, Trademarks and Copyrights (each as defined in the Security Agreement) acquired by the grantors thereof after the Closing Date).</w:t>
      </w:r>
    </w:p>
    <w:p>
      <w:pPr>
        <w:spacing w:after="0" w:line="19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On the Closing Date after giving effect to the Transactions:</w:t>
      </w:r>
    </w:p>
    <w:p>
      <w:pPr>
        <w:spacing w:after="0" w:line="216" w:lineRule="exact"/>
        <w:rPr>
          <w:sz w:val="20"/>
          <w:szCs w:val="20"/>
          <w:color w:val="auto"/>
        </w:rPr>
      </w:pPr>
    </w:p>
    <w:p>
      <w:pPr>
        <w:ind w:left="1760" w:hanging="276"/>
        <w:spacing w:after="0"/>
        <w:tabs>
          <w:tab w:leader="none" w:pos="17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Value of the assets of Borrower and its Subsidiaries on a consolidated basis taken as a whole exceeds their</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Liabilities;</w:t>
      </w:r>
    </w:p>
    <w:p>
      <w:pPr>
        <w:spacing w:after="0" w:line="193"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5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Present Fair Salable Value of the assets of Borrower and its Subsidiaries on a consolidated basis taken as a whole exceeds their Liabilities;</w:t>
      </w:r>
    </w:p>
    <w:p>
      <w:pPr>
        <w:spacing w:after="0" w:line="159" w:lineRule="exact"/>
        <w:rPr>
          <w:rFonts w:ascii="Times New Roman" w:cs="Times New Roman" w:eastAsia="Times New Roman" w:hAnsi="Times New Roman"/>
          <w:sz w:val="20"/>
          <w:szCs w:val="20"/>
          <w:color w:val="auto"/>
        </w:rPr>
      </w:pPr>
    </w:p>
    <w:p>
      <w:pPr>
        <w:ind w:left="760" w:firstLine="724"/>
        <w:spacing w:after="0" w:line="269" w:lineRule="auto"/>
        <w:tabs>
          <w:tab w:leader="none" w:pos="1769"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on a consolidated basis taken as a whole do not have Unreasonably Small Capital; and</w:t>
      </w:r>
    </w:p>
    <w:p>
      <w:pPr>
        <w:spacing w:after="0" w:line="159" w:lineRule="exact"/>
        <w:rPr>
          <w:rFonts w:ascii="Times New Roman" w:cs="Times New Roman" w:eastAsia="Times New Roman" w:hAnsi="Times New Roman"/>
          <w:sz w:val="20"/>
          <w:szCs w:val="20"/>
          <w:color w:val="auto"/>
        </w:rPr>
      </w:pPr>
    </w:p>
    <w:p>
      <w:pPr>
        <w:ind w:left="1780" w:hanging="296"/>
        <w:spacing w:after="0"/>
        <w:tabs>
          <w:tab w:leader="none" w:pos="17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Subsidiaries on a consolidated basis taken as a whole will be able to pay their Liabilities as</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they mature.</w:t>
      </w:r>
    </w:p>
    <w:p>
      <w:pPr>
        <w:spacing w:after="0" w:line="194"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3.17</w:t>
      </w:r>
      <w:r>
        <w:rPr>
          <w:rFonts w:ascii="Times New Roman" w:cs="Times New Roman" w:eastAsia="Times New Roman" w:hAnsi="Times New Roman"/>
          <w:sz w:val="19"/>
          <w:szCs w:val="19"/>
          <w:color w:val="auto"/>
        </w:rPr>
        <w:t>, (a) “</w:t>
      </w:r>
      <w:r>
        <w:rPr>
          <w:rFonts w:ascii="Times New Roman" w:cs="Times New Roman" w:eastAsia="Times New Roman" w:hAnsi="Times New Roman"/>
          <w:sz w:val="19"/>
          <w:szCs w:val="19"/>
          <w:u w:val="single" w:color="auto"/>
          <w:color w:val="auto"/>
        </w:rPr>
        <w:t>Fair Value</w:t>
      </w:r>
      <w:r>
        <w:rPr>
          <w:rFonts w:ascii="Times New Roman" w:cs="Times New Roman" w:eastAsia="Times New Roman" w:hAnsi="Times New Roman"/>
          <w:sz w:val="19"/>
          <w:szCs w:val="19"/>
          <w:color w:val="auto"/>
        </w:rPr>
        <w:t>” of the assets of any Persons means the amount at which the assets (both tangible and intangible), in their entirety, of such Persons taken as a whole would change hands between a willing buyer and a willing seller, within a commercially reasonable period of time, each having reasonable knowledge of the relevant facts, with neither being under any compulsion to act; (b) “</w:t>
      </w:r>
      <w:r>
        <w:rPr>
          <w:rFonts w:ascii="Times New Roman" w:cs="Times New Roman" w:eastAsia="Times New Roman" w:hAnsi="Times New Roman"/>
          <w:sz w:val="19"/>
          <w:szCs w:val="19"/>
          <w:u w:val="single" w:color="auto"/>
          <w:color w:val="auto"/>
        </w:rPr>
        <w:t>Present Fair Salable Value</w:t>
      </w:r>
      <w:r>
        <w:rPr>
          <w:rFonts w:ascii="Times New Roman" w:cs="Times New Roman" w:eastAsia="Times New Roman" w:hAnsi="Times New Roman"/>
          <w:sz w:val="19"/>
          <w:szCs w:val="19"/>
          <w:color w:val="auto"/>
        </w:rPr>
        <w:t>” of the assets of any Persons means the amount that could be obtained by an independent willing seller from an independent willing buyer if the assets of such Persons taken as a whole are sold with reasonable promptness in an arm’s-length transaction under present conditions for the sale of comparable business enterprises insofar as such conditions can be reasonably evaluated; (c) “</w:t>
      </w:r>
      <w:r>
        <w:rPr>
          <w:rFonts w:ascii="Times New Roman" w:cs="Times New Roman" w:eastAsia="Times New Roman" w:hAnsi="Times New Roman"/>
          <w:sz w:val="19"/>
          <w:szCs w:val="19"/>
          <w:u w:val="single" w:color="auto"/>
          <w:color w:val="auto"/>
        </w:rPr>
        <w:t>Liabilities</w:t>
      </w:r>
      <w:r>
        <w:rPr>
          <w:rFonts w:ascii="Times New Roman" w:cs="Times New Roman" w:eastAsia="Times New Roman" w:hAnsi="Times New Roman"/>
          <w:sz w:val="19"/>
          <w:szCs w:val="19"/>
          <w:color w:val="auto"/>
        </w:rPr>
        <w:t>” of any Persons means the liabilities (including contingent liabilities) of such Persons taken as a whole, as of the Closing Date after giving effect to the consummation of the Transactions; (d) “</w:t>
      </w:r>
      <w:r>
        <w:rPr>
          <w:rFonts w:ascii="Times New Roman" w:cs="Times New Roman" w:eastAsia="Times New Roman" w:hAnsi="Times New Roman"/>
          <w:sz w:val="19"/>
          <w:szCs w:val="19"/>
          <w:u w:val="single" w:color="auto"/>
          <w:color w:val="auto"/>
        </w:rPr>
        <w:t>will be able to pay their Liabilities as they mature</w:t>
      </w:r>
      <w:r>
        <w:rPr>
          <w:rFonts w:ascii="Times New Roman" w:cs="Times New Roman" w:eastAsia="Times New Roman" w:hAnsi="Times New Roman"/>
          <w:sz w:val="19"/>
          <w:szCs w:val="19"/>
          <w:color w:val="auto"/>
        </w:rPr>
        <w:t>” for any Persons means for the period from the Closing Date through the Maturity Date, such Persons taken as a whole will have sufficient assets and cash flow to pay their Liabilities as those liabilities mature or otherwise become payable, in light of business conducted or anticipated to be conducted by such Persons and in light of the anticipated credit capacity; and (e) “</w:t>
      </w:r>
      <w:r>
        <w:rPr>
          <w:rFonts w:ascii="Times New Roman" w:cs="Times New Roman" w:eastAsia="Times New Roman" w:hAnsi="Times New Roman"/>
          <w:sz w:val="19"/>
          <w:szCs w:val="19"/>
          <w:u w:val="single" w:color="auto"/>
          <w:color w:val="auto"/>
        </w:rPr>
        <w:t>do not have Unreasonably Small Capital</w:t>
      </w:r>
      <w:r>
        <w:rPr>
          <w:rFonts w:ascii="Times New Roman" w:cs="Times New Roman" w:eastAsia="Times New Roman" w:hAnsi="Times New Roman"/>
          <w:sz w:val="19"/>
          <w:szCs w:val="19"/>
          <w:color w:val="auto"/>
        </w:rPr>
        <w:t>” for any Persons means such Persons taken as a whole, after giving effect to the Transactions, is a going concern and has sufficient capital to reasonably ensure that it will continue to be a going concern for the period from the Closing Date through the Maturity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ectPr>
          <w:pgSz w:w="11900" w:h="16838" w:orient="portrait"/>
          <w:cols w:equalWidth="0" w:num="1">
            <w:col w:w="11020"/>
          </w:cols>
          <w:pgMar w:left="440" w:top="265" w:right="439" w:bottom="1440" w:gutter="0" w:footer="0" w:header="0"/>
        </w:sectPr>
      </w:pPr>
    </w:p>
    <w:bookmarkStart w:id="100" w:name="page101"/>
    <w:bookmarkEnd w:id="100"/>
    <w:p>
      <w:pPr>
        <w:ind w:left="49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color w:val="auto"/>
        </w:rPr>
        <w:t>CONDITIONS</w:t>
      </w:r>
    </w:p>
    <w:p>
      <w:pPr>
        <w:spacing w:after="0" w:line="194" w:lineRule="exact"/>
        <w:rPr>
          <w:sz w:val="20"/>
          <w:szCs w:val="20"/>
          <w:color w:val="auto"/>
        </w:rPr>
      </w:pPr>
    </w:p>
    <w:p>
      <w:pPr>
        <w:jc w:val="both"/>
        <w:ind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Conditions to the Closing Date</w:t>
      </w:r>
      <w:r>
        <w:rPr>
          <w:rFonts w:ascii="Times New Roman" w:cs="Times New Roman" w:eastAsia="Times New Roman" w:hAnsi="Times New Roman"/>
          <w:sz w:val="20"/>
          <w:szCs w:val="20"/>
          <w:color w:val="auto"/>
        </w:rPr>
        <w:t xml:space="preserve">. This Agreement and the obligations of the Lenders to make Loans and of the Issuing Banks to make LC Credit Extensions hereunder shall become effective on the first date when each of the following conditions is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60" w:right="20" w:firstLine="724"/>
        <w:spacing w:after="0" w:line="249" w:lineRule="auto"/>
        <w:tabs>
          <w:tab w:leader="none" w:pos="179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the following, each of which shall be originals, telecopies or electronic copies unless otherwise specified, each properly executed by a Responsible Officer of the signing Loan Party (except as otherwise provided below), each dated a date on or prior to the Closing Date and each in form and substance reasonably satisfactory to the Administrative Agent:</w:t>
      </w:r>
    </w:p>
    <w:p>
      <w:pPr>
        <w:spacing w:after="0" w:line="179" w:lineRule="exact"/>
        <w:rPr>
          <w:rFonts w:ascii="Times New Roman" w:cs="Times New Roman" w:eastAsia="Times New Roman" w:hAnsi="Times New Roman"/>
          <w:sz w:val="20"/>
          <w:szCs w:val="20"/>
          <w:color w:val="auto"/>
        </w:rPr>
      </w:pPr>
    </w:p>
    <w:p>
      <w:pPr>
        <w:ind w:left="1540" w:right="20" w:firstLine="661"/>
        <w:spacing w:after="0" w:line="269" w:lineRule="auto"/>
        <w:tabs>
          <w:tab w:leader="none" w:pos="2456"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duly executed by each Loan Party and each of the other parties listed on the signature pages hereto;</w:t>
      </w:r>
    </w:p>
    <w:p>
      <w:pPr>
        <w:spacing w:after="0" w:line="159" w:lineRule="exact"/>
        <w:rPr>
          <w:rFonts w:ascii="Times New Roman" w:cs="Times New Roman" w:eastAsia="Times New Roman" w:hAnsi="Times New Roman"/>
          <w:sz w:val="20"/>
          <w:szCs w:val="20"/>
          <w:color w:val="auto"/>
        </w:rPr>
      </w:pPr>
    </w:p>
    <w:p>
      <w:pPr>
        <w:ind w:left="1540" w:right="20" w:firstLine="661"/>
        <w:spacing w:after="0" w:line="269" w:lineRule="auto"/>
        <w:tabs>
          <w:tab w:leader="none" w:pos="2508"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each Collateral Document required to be executed on the Closing Date, duly executed by each Loan Party party thereto, together with:</w:t>
      </w:r>
    </w:p>
    <w:p>
      <w:pPr>
        <w:spacing w:after="0" w:line="159" w:lineRule="exact"/>
        <w:rPr>
          <w:rFonts w:ascii="Times New Roman" w:cs="Times New Roman" w:eastAsia="Times New Roman" w:hAnsi="Times New Roman"/>
          <w:sz w:val="20"/>
          <w:szCs w:val="20"/>
          <w:color w:val="auto"/>
        </w:rPr>
      </w:pPr>
    </w:p>
    <w:p>
      <w:pPr>
        <w:jc w:val="both"/>
        <w:ind w:left="1980" w:right="20" w:firstLine="450"/>
        <w:spacing w:after="0" w:line="245" w:lineRule="auto"/>
        <w:tabs>
          <w:tab w:leader="none" w:pos="2808"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if any, representing the Pledged Equity in the Borrower and in each wholly owned Domestic Subsidiary of the Borrower (other than those described under clause (b) of the definition of Excluded Subsidiary), accompanied by undated stock or membership interest powers executed in blank and instruments evidencing the Pledged Debt (including the Intercompany Note) indorsed in blank (or confirmation in lieu thereof reasonably satisfactory to the Administrative Agent or its counsel that such certificates, powers and instruments have been sent for overnight delivery to the Collateral Agent or its counsel);</w:t>
      </w:r>
    </w:p>
    <w:p>
      <w:pPr>
        <w:spacing w:after="0" w:line="184" w:lineRule="exact"/>
        <w:rPr>
          <w:rFonts w:ascii="Times New Roman" w:cs="Times New Roman" w:eastAsia="Times New Roman" w:hAnsi="Times New Roman"/>
          <w:sz w:val="20"/>
          <w:szCs w:val="20"/>
          <w:color w:val="auto"/>
        </w:rPr>
      </w:pPr>
    </w:p>
    <w:p>
      <w:pPr>
        <w:jc w:val="both"/>
        <w:ind w:left="1980" w:right="20" w:firstLine="450"/>
        <w:spacing w:after="0" w:line="249" w:lineRule="auto"/>
        <w:tabs>
          <w:tab w:leader="none" w:pos="2756"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proper financing statements, filed or duly prepared for filing under the Uniform Commercial Code in all United States jurisdictions that the Administrative Agent may deem reasonably necessary in order to perfect and protect the Liens created under the Security Agreement on assets of the Loan Parties that are parties to the Security Agreement, covering the Collateral described in the Security Agreement; and</w:t>
      </w:r>
    </w:p>
    <w:p>
      <w:pPr>
        <w:spacing w:after="0" w:line="179" w:lineRule="exact"/>
        <w:rPr>
          <w:rFonts w:ascii="Times New Roman" w:cs="Times New Roman" w:eastAsia="Times New Roman" w:hAnsi="Times New Roman"/>
          <w:sz w:val="20"/>
          <w:szCs w:val="20"/>
          <w:color w:val="auto"/>
        </w:rPr>
      </w:pPr>
    </w:p>
    <w:p>
      <w:pPr>
        <w:jc w:val="both"/>
        <w:ind w:left="1980" w:right="20" w:firstLine="450"/>
        <w:spacing w:after="0" w:line="246" w:lineRule="auto"/>
        <w:tabs>
          <w:tab w:leader="none" w:pos="2758"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other actions, recordings and filings required by the Collateral Documents (including the filing of the Intellectual Property Security Agreements with the United States Patent and Trademark Office and United States Copyright Office, as applicable) as of the Closing Date or that the Administrative Agent may deem reasonably necessary to satisfy the Collateral and Guarantee Requirement shall have been taken, completed or otherwise provided for in a manner reasonably satisfactory to the Administrative Agent;</w:t>
      </w:r>
    </w:p>
    <w:p>
      <w:pPr>
        <w:spacing w:after="0" w:line="184" w:lineRule="exact"/>
        <w:rPr>
          <w:rFonts w:ascii="Times New Roman" w:cs="Times New Roman" w:eastAsia="Times New Roman" w:hAnsi="Times New Roman"/>
          <w:sz w:val="20"/>
          <w:szCs w:val="20"/>
          <w:color w:val="auto"/>
        </w:rPr>
      </w:pPr>
    </w:p>
    <w:p>
      <w:pPr>
        <w:ind w:left="1540" w:firstLine="661"/>
        <w:spacing w:after="0" w:line="269" w:lineRule="auto"/>
        <w:tabs>
          <w:tab w:leader="none" w:pos="2567"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promissory note executed by the Borrower in favor of each Lender requesting three Business Days in advance a promissory note evidencing the Loan provided by such Lender;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ectPr>
          <w:pgSz w:w="11900" w:h="16838" w:orient="portrait"/>
          <w:cols w:equalWidth="0" w:num="1">
            <w:col w:w="11020"/>
          </w:cols>
          <w:pgMar w:left="440" w:top="265" w:right="439" w:bottom="1440" w:gutter="0" w:footer="0" w:header="0"/>
        </w:sectPr>
      </w:pPr>
    </w:p>
    <w:bookmarkStart w:id="101" w:name="page102"/>
    <w:bookmarkEnd w:id="101"/>
    <w:p>
      <w:pPr>
        <w:jc w:val="both"/>
        <w:ind w:left="540" w:right="20" w:firstLine="661"/>
        <w:spacing w:after="0" w:line="249" w:lineRule="auto"/>
        <w:tabs>
          <w:tab w:leader="none" w:pos="1594"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certificates of resolutions or other action, incumbency certificates and/or other certificates of Responsible Officers of the Loan Parties as the Administrative Agent may reasonably require evidencing the identity, authority and capacity of each Responsible Officer thereof authorized to act as a Responsible Officer in connection with this Agreement and the other Loan Documents;</w:t>
      </w:r>
    </w:p>
    <w:p>
      <w:pPr>
        <w:spacing w:after="0" w:line="179" w:lineRule="exact"/>
        <w:rPr>
          <w:rFonts w:ascii="Times New Roman" w:cs="Times New Roman" w:eastAsia="Times New Roman" w:hAnsi="Times New Roman"/>
          <w:sz w:val="20"/>
          <w:szCs w:val="20"/>
          <w:color w:val="auto"/>
        </w:rPr>
      </w:pPr>
    </w:p>
    <w:p>
      <w:pPr>
        <w:ind w:left="1480" w:hanging="279"/>
        <w:spacing w:after="0"/>
        <w:tabs>
          <w:tab w:leader="none" w:pos="148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good standing for each Loan Party from its jurisdiction of organization;</w:t>
      </w:r>
    </w:p>
    <w:p>
      <w:pPr>
        <w:spacing w:after="0" w:line="215" w:lineRule="exact"/>
        <w:rPr>
          <w:rFonts w:ascii="Times New Roman" w:cs="Times New Roman" w:eastAsia="Times New Roman" w:hAnsi="Times New Roman"/>
          <w:sz w:val="20"/>
          <w:szCs w:val="20"/>
          <w:color w:val="auto"/>
        </w:rPr>
      </w:pPr>
    </w:p>
    <w:p>
      <w:pPr>
        <w:ind w:left="540" w:right="20" w:firstLine="661"/>
        <w:spacing w:after="0" w:line="269" w:lineRule="auto"/>
        <w:tabs>
          <w:tab w:leader="none" w:pos="156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signed by a Responsible Officer of the Borrower certifying that the conditions specified in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have been satisfied;</w:t>
      </w:r>
    </w:p>
    <w:p>
      <w:pPr>
        <w:spacing w:after="0" w:line="159" w:lineRule="exact"/>
        <w:rPr>
          <w:rFonts w:ascii="Times New Roman" w:cs="Times New Roman" w:eastAsia="Times New Roman" w:hAnsi="Times New Roman"/>
          <w:sz w:val="20"/>
          <w:szCs w:val="20"/>
          <w:color w:val="auto"/>
        </w:rPr>
      </w:pPr>
    </w:p>
    <w:p>
      <w:pPr>
        <w:ind w:left="540" w:firstLine="661"/>
        <w:spacing w:after="0" w:line="269" w:lineRule="auto"/>
        <w:tabs>
          <w:tab w:leader="none" w:pos="1638"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favorable opinion of Fried, Frank, Harris, Shriver &amp; Jacobson LLP, counsel to the Loan Parties, addressed to the Administrative Agent and each Lender (as of the Closing Date);</w:t>
      </w:r>
    </w:p>
    <w:p>
      <w:pPr>
        <w:spacing w:after="0" w:line="159" w:lineRule="exact"/>
        <w:rPr>
          <w:rFonts w:ascii="Times New Roman" w:cs="Times New Roman" w:eastAsia="Times New Roman" w:hAnsi="Times New Roman"/>
          <w:sz w:val="20"/>
          <w:szCs w:val="20"/>
          <w:color w:val="auto"/>
        </w:rPr>
      </w:pPr>
    </w:p>
    <w:p>
      <w:pPr>
        <w:ind w:left="540" w:right="20" w:firstLine="661"/>
        <w:spacing w:after="0" w:line="269" w:lineRule="auto"/>
        <w:tabs>
          <w:tab w:leader="none" w:pos="1656"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reasonably acceptable to the Collateral Agent that all applicable insurance policies of the Loan Parties name the Collateral Agent as additional insured or loss payee, as appropriate;</w:t>
      </w:r>
    </w:p>
    <w:p>
      <w:pPr>
        <w:spacing w:after="0" w:line="159" w:lineRule="exact"/>
        <w:rPr>
          <w:rFonts w:ascii="Times New Roman" w:cs="Times New Roman" w:eastAsia="Times New Roman" w:hAnsi="Times New Roman"/>
          <w:sz w:val="20"/>
          <w:szCs w:val="20"/>
          <w:color w:val="auto"/>
        </w:rPr>
      </w:pPr>
    </w:p>
    <w:p>
      <w:pPr>
        <w:ind w:left="1540" w:hanging="339"/>
        <w:spacing w:after="0"/>
        <w:tabs>
          <w:tab w:leader="none" w:pos="1540"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Perfection Certificate, duly completed and executed by the Borrower; and</w:t>
      </w:r>
    </w:p>
    <w:p>
      <w:pPr>
        <w:spacing w:after="0" w:line="215" w:lineRule="exact"/>
        <w:rPr>
          <w:rFonts w:ascii="Times New Roman" w:cs="Times New Roman" w:eastAsia="Times New Roman" w:hAnsi="Times New Roman"/>
          <w:sz w:val="20"/>
          <w:szCs w:val="20"/>
          <w:color w:val="auto"/>
        </w:rPr>
      </w:pPr>
    </w:p>
    <w:p>
      <w:pPr>
        <w:ind w:left="540" w:right="20" w:firstLine="661"/>
        <w:spacing w:after="0" w:line="269" w:lineRule="auto"/>
        <w:tabs>
          <w:tab w:leader="none" w:pos="1547"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solvency certificate from the chief financial officer of the Borrower (after giving effect to the Transactions).</w:t>
      </w:r>
    </w:p>
    <w:p>
      <w:pPr>
        <w:spacing w:after="0" w:line="159"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7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(or caused to be paid) all fees and expenses due to the Arrangers and the Lenders required to be paid on the Closing Date and, in the case of expenses, to the extent a reasonably detailed invoice has been delivered to the Borrower at least two Business Days prior to the Closing Date.</w:t>
      </w:r>
    </w:p>
    <w:p>
      <w:pPr>
        <w:spacing w:after="0" w:line="174"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neither the Borrower nor any of its Subsidiaries shall have any outstanding Indebtedness for borrowed money or Liens, other than the Revolving Facility (and Liens securing the Revolving Facility) and Indebtedness and Liens permitted under this Agreement.</w:t>
      </w:r>
    </w:p>
    <w:p>
      <w:pPr>
        <w:spacing w:after="0" w:line="174" w:lineRule="exact"/>
        <w:rPr>
          <w:rFonts w:ascii="Times New Roman" w:cs="Times New Roman" w:eastAsia="Times New Roman" w:hAnsi="Times New Roman"/>
          <w:sz w:val="20"/>
          <w:szCs w:val="20"/>
          <w:color w:val="auto"/>
        </w:rPr>
      </w:pPr>
    </w:p>
    <w:p>
      <w:pPr>
        <w:jc w:val="both"/>
        <w:ind w:left="-240" w:right="20" w:firstLine="724"/>
        <w:spacing w:after="0" w:line="246" w:lineRule="auto"/>
        <w:tabs>
          <w:tab w:leader="none" w:pos="81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at least three Business Days prior to the Closing Date, all documentation and other information required by regulatory authorities under applicable “know your customer” and anti-money laundering rules and regulations, including the PATRIOT Act, as is reasonably requested in writing by the Administrative Agent at least ten Business Days prior to the Closing Date. At least three Business Days prior to the Closing Date, the Borrower shall deliver a Beneficial Ownership Certification in relation to the Borrower.</w:t>
      </w:r>
    </w:p>
    <w:p>
      <w:pPr>
        <w:spacing w:after="0" w:line="184" w:lineRule="exact"/>
        <w:rPr>
          <w:rFonts w:ascii="Times New Roman" w:cs="Times New Roman" w:eastAsia="Times New Roman" w:hAnsi="Times New Roman"/>
          <w:sz w:val="20"/>
          <w:szCs w:val="20"/>
          <w:color w:val="auto"/>
        </w:rPr>
      </w:pPr>
    </w:p>
    <w:p>
      <w:pPr>
        <w:ind w:left="-240" w:right="20" w:firstLine="724"/>
        <w:spacing w:after="0" w:line="269" w:lineRule="auto"/>
        <w:tabs>
          <w:tab w:leader="none" w:pos="7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IPO shall have been consummated (or shall be consummated substantially concurrently with the effectiveness of this Agreement).</w:t>
      </w:r>
    </w:p>
    <w:p>
      <w:pPr>
        <w:spacing w:after="0" w:line="159" w:lineRule="exact"/>
        <w:rPr>
          <w:rFonts w:ascii="Times New Roman" w:cs="Times New Roman" w:eastAsia="Times New Roman" w:hAnsi="Times New Roman"/>
          <w:sz w:val="20"/>
          <w:szCs w:val="20"/>
          <w:color w:val="auto"/>
        </w:rPr>
      </w:pPr>
    </w:p>
    <w:p>
      <w:pPr>
        <w:ind w:left="740" w:hanging="256"/>
        <w:spacing w:after="0"/>
        <w:tabs>
          <w:tab w:leader="none" w:pos="74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Arrangers shall have received the Historical Financial Statements.</w:t>
      </w:r>
    </w:p>
    <w:p>
      <w:pPr>
        <w:spacing w:after="0" w:line="1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-89-</w:t>
      </w:r>
    </w:p>
    <w:p>
      <w:pPr>
        <w:sectPr>
          <w:pgSz w:w="11900" w:h="16838" w:orient="portrait"/>
          <w:cols w:equalWidth="0" w:num="1">
            <w:col w:w="10020"/>
          </w:cols>
          <w:pgMar w:left="1440" w:top="265" w:right="439" w:bottom="1440" w:gutter="0" w:footer="0" w:header="0"/>
        </w:sectPr>
      </w:pPr>
    </w:p>
    <w:bookmarkStart w:id="102" w:name="page103"/>
    <w:bookmarkEnd w:id="102"/>
    <w:p>
      <w:pPr>
        <w:jc w:val="both"/>
        <w:ind w:left="760" w:right="20" w:firstLine="724"/>
        <w:spacing w:after="0" w:line="254" w:lineRule="auto"/>
        <w:tabs>
          <w:tab w:leader="none" w:pos="1769"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December 31, 2018, there shall not have occurred any change, event, occurrence, development, condition or effect that, individually or in the aggregate, is or would reasonably be expected to be materially adverse to the business, financial condition or results of operations of the Borrower and its Subsidiaries, taken as a whole.</w:t>
      </w:r>
    </w:p>
    <w:p>
      <w:pPr>
        <w:spacing w:after="0" w:line="174" w:lineRule="exact"/>
        <w:rPr>
          <w:sz w:val="20"/>
          <w:szCs w:val="20"/>
          <w:color w:val="auto"/>
        </w:rPr>
      </w:pPr>
    </w:p>
    <w:p>
      <w:pPr>
        <w:jc w:val="both"/>
        <w:ind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a Loan on the occasion of any Borrowing, and of the Issuing Banks to make any LC Credit Extension, is subject to receipt of the request therefor in accordance herewith and to the satisfaction of the following conditions:</w:t>
      </w:r>
    </w:p>
    <w:p>
      <w:pPr>
        <w:spacing w:after="0" w:line="174" w:lineRule="exact"/>
        <w:rPr>
          <w:sz w:val="20"/>
          <w:szCs w:val="20"/>
          <w:color w:val="auto"/>
        </w:rPr>
      </w:pPr>
    </w:p>
    <w:p>
      <w:pPr>
        <w:jc w:val="both"/>
        <w:ind w:left="760" w:right="20" w:firstLine="724"/>
        <w:spacing w:after="0" w:line="246" w:lineRule="auto"/>
        <w:tabs>
          <w:tab w:leader="none" w:pos="174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each Loan Party set forth in the Loan Documents shall be true and correct in all material respects (and in all respects if qualified by materiality)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(and in all respects if qualified by materiality) as of such earlier date).</w:t>
      </w:r>
    </w:p>
    <w:p>
      <w:pPr>
        <w:spacing w:after="0" w:line="18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93"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or the issuance, amendment, renewal or extension of such Letter of Credit, as the case may be, no Default or Event of Default shall have occurred and be continuing.</w:t>
      </w:r>
    </w:p>
    <w:p>
      <w:pPr>
        <w:spacing w:after="0" w:line="159"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Borrowing Request or Letter of Credit Application, as applicable.</w:t>
      </w:r>
    </w:p>
    <w:p>
      <w:pPr>
        <w:spacing w:after="0" w:line="21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Each Borrowing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conversion or a continuation of a Borrowing shall not constitute a “Borrowing”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each LC Credit Extension shall be deemed to constitute a representation and warranty by the Borrower on the date thereof as to the matters specified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AFFIRMATIVE COVENANTS</w:t>
      </w:r>
    </w:p>
    <w:p>
      <w:pPr>
        <w:spacing w:after="0" w:line="194" w:lineRule="exact"/>
        <w:rPr>
          <w:sz w:val="20"/>
          <w:szCs w:val="20"/>
          <w:color w:val="auto"/>
        </w:rPr>
      </w:pPr>
    </w:p>
    <w:p>
      <w:pPr>
        <w:jc w:val="both"/>
        <w:ind w:right="20" w:firstLine="771"/>
        <w:spacing w:after="0" w:line="246" w:lineRule="auto"/>
        <w:rPr>
          <w:sz w:val="20"/>
          <w:szCs w:val="20"/>
          <w:color w:val="auto"/>
        </w:rPr>
      </w:pPr>
      <w:r>
        <w:rPr>
          <w:rFonts w:ascii="Times New Roman" w:cs="Times New Roman" w:eastAsia="Times New Roman" w:hAnsi="Times New Roman"/>
          <w:sz w:val="20"/>
          <w:szCs w:val="20"/>
          <w:color w:val="auto"/>
        </w:rPr>
        <w:t>Beginning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w:t>
      </w:r>
    </w:p>
    <w:p>
      <w:pPr>
        <w:spacing w:after="0" w:line="185" w:lineRule="exact"/>
        <w:rPr>
          <w:sz w:val="20"/>
          <w:szCs w:val="20"/>
          <w:color w:val="auto"/>
        </w:rPr>
      </w:pPr>
    </w:p>
    <w:p>
      <w:pPr>
        <w:jc w:val="both"/>
        <w:ind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Section 5.01 </w:t>
      </w:r>
      <w:r>
        <w:rPr>
          <w:rFonts w:ascii="Times New Roman" w:cs="Times New Roman" w:eastAsia="Times New Roman" w:hAnsi="Times New Roman"/>
          <w:sz w:val="20"/>
          <w:szCs w:val="20"/>
          <w:u w:val="single" w:color="auto"/>
          <w:color w:val="auto"/>
        </w:rPr>
        <w:t>Financial Statements and Other Information</w:t>
      </w:r>
      <w:r>
        <w:rPr>
          <w:rFonts w:ascii="Times New Roman" w:cs="Times New Roman" w:eastAsia="Times New Roman" w:hAnsi="Times New Roman"/>
          <w:sz w:val="20"/>
          <w:szCs w:val="20"/>
          <w:color w:val="auto"/>
        </w:rPr>
        <w:t>. The Borrower will furnish to the Administrative Agent on behalf of each Lender:</w:t>
      </w:r>
    </w:p>
    <w:p>
      <w:pPr>
        <w:spacing w:after="0" w:line="159" w:lineRule="exact"/>
        <w:rPr>
          <w:sz w:val="20"/>
          <w:szCs w:val="20"/>
          <w:color w:val="auto"/>
        </w:rPr>
      </w:pPr>
    </w:p>
    <w:p>
      <w:pPr>
        <w:jc w:val="both"/>
        <w:ind w:left="760" w:firstLine="724"/>
        <w:spacing w:after="0" w:line="260" w:lineRule="auto"/>
        <w:tabs>
          <w:tab w:leader="none" w:pos="1798"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90 days after the end of each fiscal year of the Borrower, commencing with the fiscal year ending December 31, 2019, its audited consolidated statement of financial condition and audited consolidated statements of income, changes in stockholders’ equity and accumulated other comprehensive income and cash flows as of the end of and for such year, and related notes thereto, setting forth in each case in comparative form the figures for the previous fiscal year (which, for the fiscal year ending December 31, 2019, may include comparative information against the Historical Financial Statements), all reported on by Deloitte &amp; Touche LLP or such other independent public accountants of recognized national standing (without a</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ectPr>
          <w:pgSz w:w="11900" w:h="16838" w:orient="portrait"/>
          <w:cols w:equalWidth="0" w:num="1">
            <w:col w:w="11020"/>
          </w:cols>
          <w:pgMar w:left="440" w:top="265" w:right="439" w:bottom="1440" w:gutter="0" w:footer="0" w:header="0"/>
        </w:sectPr>
      </w:pPr>
    </w:p>
    <w:bookmarkStart w:id="103" w:name="page104"/>
    <w:bookmarkEnd w:id="103"/>
    <w:p>
      <w:pPr>
        <w:ind w:right="20"/>
        <w:spacing w:after="0" w:line="25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“going concern” or like qualification or exception or any qualification or exception as to the scope of such audit;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report may contain a “going concern” or like qualification or exception if such qualification or exception is related to the</w:t>
      </w:r>
    </w:p>
    <w:p>
      <w:pPr>
        <w:jc w:val="both"/>
        <w:ind w:firstLine="7"/>
        <w:spacing w:after="0" w:line="241" w:lineRule="auto"/>
        <w:tabs>
          <w:tab w:leader="none" w:pos="263"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upcoming maturity of any Indebtedness or a (ii) failure to satisfy any financial covenants in respect of any Indebtedness (whether or not such failure has occurred)) to the effect that such consolidated financial statements present fairly in all material respects the financial condition and results of operations of the Borrower and its Subsidiaries on a consolidated basis in accordance with GAAP;</w:t>
      </w:r>
    </w:p>
    <w:p>
      <w:pPr>
        <w:spacing w:after="0" w:line="188" w:lineRule="exact"/>
        <w:rPr>
          <w:rFonts w:ascii="Times New Roman" w:cs="Times New Roman" w:eastAsia="Times New Roman" w:hAnsi="Times New Roman"/>
          <w:sz w:val="20"/>
          <w:szCs w:val="20"/>
          <w:color w:val="auto"/>
        </w:rPr>
      </w:pPr>
    </w:p>
    <w:p>
      <w:pPr>
        <w:jc w:val="both"/>
        <w:ind w:firstLine="724"/>
        <w:spacing w:after="0" w:line="242" w:lineRule="auto"/>
        <w:tabs>
          <w:tab w:leader="none" w:pos="998"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45 days after the end of each of the first three fiscal quarters of each fiscal year of the Borrower, commencing with the fiscal quarter ending March 31, 2019, its unaudited consolidated statement of financial condition as of the end of such fiscal quarter, unaudited consolidated statements of income for such fiscal quarter and the then elapsed portion of the fiscal year and unaudited statements of changes in stockholders’ equity and accumulated other comprehensive income and cash flows for the then elapsed portion of the fiscal year, setting forth in each case in comparative form the figures for the corresponding period or periods of (or, in the case of the statement of financial condition, as of the end of) the previous fiscal year (which may include comparative information against the Historical Financial Statements to the extent applicable), all certified by a Financial Officer as presenting fairly in all material respects the financial condition and results of operations of the Borrower and its Subsidiaries on a consolidated basis in accordance with GAAP consistently applied, subject to normal year-end audit adjustments and the absence of footnotes;</w:t>
      </w:r>
    </w:p>
    <w:p>
      <w:pPr>
        <w:spacing w:after="0" w:line="192" w:lineRule="exact"/>
        <w:rPr>
          <w:rFonts w:ascii="Times New Roman" w:cs="Times New Roman" w:eastAsia="Times New Roman" w:hAnsi="Times New Roman"/>
          <w:sz w:val="20"/>
          <w:szCs w:val="20"/>
          <w:color w:val="auto"/>
        </w:rPr>
      </w:pPr>
    </w:p>
    <w:p>
      <w:pPr>
        <w:jc w:val="both"/>
        <w:ind w:firstLine="724"/>
        <w:spacing w:after="0" w:line="243" w:lineRule="auto"/>
        <w:tabs>
          <w:tab w:leader="none" w:pos="101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5 Business Days of any delivery of financial statements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Compliance Certificate of a Financial Officer (i) stating that, except as set forth in such Compliance Certificate, such Financial Officer has no knowledge of any Default existing as of such date and, if a Default does exist, specifying the details thereof and any action taken or proposed to be taken with respect thereto, (ii) setting forth reasonably detailed calculations demonstrating compliance with the Financial Covenants and (iii) to the extent that any change in GAAP or application thereof has a material impact on such financial statements, stating whether any change in GAAP or in the application thereof has occurred since December 31, 2018 and, if any such change has occurred, specifying the effect of such change on the financial statements accompanying such Compliance Certificate;</w:t>
      </w:r>
    </w:p>
    <w:p>
      <w:pPr>
        <w:spacing w:after="0" w:line="189" w:lineRule="exact"/>
        <w:rPr>
          <w:rFonts w:ascii="Times New Roman" w:cs="Times New Roman" w:eastAsia="Times New Roman" w:hAnsi="Times New Roman"/>
          <w:sz w:val="20"/>
          <w:szCs w:val="20"/>
          <w:color w:val="auto"/>
        </w:rPr>
      </w:pPr>
    </w:p>
    <w:p>
      <w:pPr>
        <w:jc w:val="both"/>
        <w:ind w:right="20" w:firstLine="724"/>
        <w:spacing w:after="0" w:line="254" w:lineRule="auto"/>
        <w:tabs>
          <w:tab w:leader="none" w:pos="1027"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5 Business Days of any delivery of financial statements under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reasonably detailed unaudited consolidating financial information necessary to eliminate the accounts of Unrestricted Subsidiaries (if any) from such consolidated financial statements;</w:t>
      </w:r>
    </w:p>
    <w:p>
      <w:pPr>
        <w:spacing w:after="0" w:line="174" w:lineRule="exact"/>
        <w:rPr>
          <w:rFonts w:ascii="Times New Roman" w:cs="Times New Roman" w:eastAsia="Times New Roman" w:hAnsi="Times New Roman"/>
          <w:sz w:val="20"/>
          <w:szCs w:val="20"/>
          <w:color w:val="auto"/>
        </w:rPr>
      </w:pPr>
    </w:p>
    <w:p>
      <w:pPr>
        <w:jc w:val="both"/>
        <w:ind w:firstLine="724"/>
        <w:spacing w:after="0" w:line="243" w:lineRule="auto"/>
        <w:tabs>
          <w:tab w:leader="none" w:pos="100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5 Business Days of any delivery of financial statements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(i) in the case of financial statements pursuant to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only, a Compliance Certificate setting forth the information describing the legal name and the jurisdiction of formation of each Loan Party and the location of the chief executive office or registered office, as applicable, of each Loan Party or confirming that there has been no change in such information since the later of the Closing Date or the date of the last such report, and (ii) a list of each Subsidiary of the Borrower that identifies each Subsidiary as a Restricted Subsidiary, an Unrestricted Subsidiary and/or an Excluded Subsidiary, as applicable, as of the date of delivery of such financial statements or confirmation that there has been no change in such information since the later of the Closing Date or the date of the last such list;</w:t>
      </w:r>
    </w:p>
    <w:p>
      <w:pPr>
        <w:spacing w:after="0" w:line="12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-91-</w:t>
      </w:r>
    </w:p>
    <w:p>
      <w:pPr>
        <w:sectPr>
          <w:pgSz w:w="11900" w:h="16838" w:orient="portrait"/>
          <w:cols w:equalWidth="0" w:num="1">
            <w:col w:w="10260"/>
          </w:cols>
          <w:pgMar w:left="1200" w:top="261" w:right="439" w:bottom="1440" w:gutter="0" w:footer="0" w:header="0"/>
        </w:sectPr>
      </w:pPr>
    </w:p>
    <w:bookmarkStart w:id="104" w:name="page105"/>
    <w:bookmarkEnd w:id="104"/>
    <w:p>
      <w:pPr>
        <w:jc w:val="both"/>
        <w:ind w:left="760" w:firstLine="724"/>
        <w:spacing w:after="0" w:line="254" w:lineRule="auto"/>
        <w:tabs>
          <w:tab w:leader="none" w:pos="1765"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 and</w:t>
      </w:r>
    </w:p>
    <w:p>
      <w:pPr>
        <w:spacing w:after="0" w:line="174" w:lineRule="exact"/>
        <w:rPr>
          <w:rFonts w:ascii="Times New Roman" w:cs="Times New Roman" w:eastAsia="Times New Roman" w:hAnsi="Times New Roman"/>
          <w:sz w:val="20"/>
          <w:szCs w:val="20"/>
          <w:color w:val="auto"/>
        </w:rPr>
      </w:pPr>
    </w:p>
    <w:p>
      <w:pPr>
        <w:jc w:val="both"/>
        <w:ind w:left="760" w:firstLine="724"/>
        <w:spacing w:after="0" w:line="255" w:lineRule="auto"/>
        <w:tabs>
          <w:tab w:leader="none" w:pos="1796" w:val="left"/>
        </w:tabs>
        <w:numPr>
          <w:ilvl w:val="1"/>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following any request therefor, such other information regarding the operations, business affairs and financial condition of the Borrower or any Restricted Subsidiary, or compliance with the terms of any Loan Document, as the Administrative Agent or any Lenders (through the Administrative Agent) may reasonably request;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notwithstanding the foregoing,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w:t>
      </w:r>
    </w:p>
    <w:p>
      <w:pPr>
        <w:ind w:left="1120" w:hanging="353"/>
        <w:spacing w:after="0"/>
        <w:tabs>
          <w:tab w:leader="none" w:pos="112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subject to attorney-client or similar privilege or constitutes attorney work-product.</w:t>
      </w:r>
    </w:p>
    <w:p>
      <w:pPr>
        <w:spacing w:after="0" w:line="194"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the foregoing, the obligations in paragraphs (a) and (b) of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may be satisfied with respect to financial information of the Borrower and the Subsidiaries by furnishing (A) the applicable financial statements of the Borrower (or the Public Company Parent) or (B) the Borrower’s (or the Public Company Parent), as applicable, Form 10-K or 10-Q, as applicable,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clauses (A) and (B), (i) to the extent such information relates to the Public Company Parent, such information is accompanied by reasonably detailed unaudited consolidating information that explains in reasonable detail the differences between the information relating to the Public Company Parent, on the one hand, and the information relating to the Borrower and the Subsidiaries on a stand-alone basis, on the other hand and (ii) to the extent such information is in lieu of information required to be provided under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such materials are accompanied by a report and opinion of any independent registered public accounting firm of nationally recognized standing, which report and opinion shall be prepared in accordance with GAAP and, except as permitted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shall not contain any qualifications or exceptions as to the scope of such audit or any “going concern” explanatory paragraph or like qualification.</w:t>
      </w:r>
    </w:p>
    <w:p>
      <w:pPr>
        <w:spacing w:after="0" w:line="190"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may be delivered electronically and if so delivered, shall be deemed to have been delivered on the date (i) on which the Borrower (or any direct or indirect parent of the Borrower, including the Public Company Parent) posts such documents, or provides a link thereto on the website on the internet at the Borrower’s website; or (ii) on which such documents are posted on the Borrower’s behalf on a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Borrower shall notify (which may be by electronic mail) the Administrative Agent of the posting of any such documents.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Each Lender shall be solely responsible for timely accessing posted documents or requesting delivery of paper copies of such documents from the Administrative Agent and maintaining its copies of such documents.</w:t>
      </w:r>
    </w:p>
    <w:p>
      <w:pPr>
        <w:spacing w:after="0" w:line="189" w:lineRule="exact"/>
        <w:rPr>
          <w:sz w:val="20"/>
          <w:szCs w:val="20"/>
          <w:color w:val="auto"/>
        </w:rPr>
      </w:pPr>
    </w:p>
    <w:p>
      <w:pPr>
        <w:jc w:val="both"/>
        <w:ind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Borrower will furnish to the Administrative Agent (for distribution to each Lender through the Administrative Agent) prompt written notice of the following promptly after any Responsible Officer of the Borrower obtains notice thereof:</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(a) the occurrence of any Default;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ectPr>
          <w:pgSz w:w="11900" w:h="16838" w:orient="portrait"/>
          <w:cols w:equalWidth="0" w:num="1">
            <w:col w:w="11020"/>
          </w:cols>
          <w:pgMar w:left="440" w:top="265" w:right="439" w:bottom="1440" w:gutter="0" w:footer="0" w:header="0"/>
        </w:sectPr>
      </w:pPr>
    </w:p>
    <w:bookmarkStart w:id="105" w:name="page106"/>
    <w:bookmarkEnd w:id="105"/>
    <w:p>
      <w:pPr>
        <w:jc w:val="both"/>
        <w:ind w:left="760" w:right="20" w:firstLine="724"/>
        <w:spacing w:after="0" w:line="254" w:lineRule="auto"/>
        <w:tabs>
          <w:tab w:leader="none" w:pos="175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filing or commencement of any action, suit or proceeding by or before any arbitrator or Governmental Authority against or affecting the Borrower or any of its Restricted Subsidiaries that would reasonably be expected to have a Material Adverse Effect;</w:t>
      </w:r>
    </w:p>
    <w:p>
      <w:pPr>
        <w:spacing w:after="0" w:line="17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5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three Business Days after the occurrence of any ERISA Event that would reasonably be expected to have a Material Adverse Effect; and</w:t>
      </w:r>
    </w:p>
    <w:p>
      <w:pPr>
        <w:spacing w:after="0" w:line="159"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results in, or would reasonably be expected to have, a Material Adverse Effect.</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written statement of a Responsible Officer of the Borrower setting forth the details of the event or development requiring such notice and any action taken or proposed to be taken with respect thereto.</w:t>
      </w:r>
    </w:p>
    <w:p>
      <w:pPr>
        <w:spacing w:after="0" w:line="159" w:lineRule="exact"/>
        <w:rPr>
          <w:sz w:val="20"/>
          <w:szCs w:val="20"/>
          <w:color w:val="auto"/>
        </w:rPr>
      </w:pPr>
    </w:p>
    <w:p>
      <w:pPr>
        <w:jc w:val="both"/>
        <w:ind w:firstLine="1542"/>
        <w:spacing w:after="0" w:line="246" w:lineRule="auto"/>
        <w:rPr>
          <w:sz w:val="20"/>
          <w:szCs w:val="20"/>
          <w:color w:val="auto"/>
        </w:rPr>
      </w:pPr>
      <w:r>
        <w:rPr>
          <w:rFonts w:ascii="Times New Roman" w:cs="Times New Roman" w:eastAsia="Times New Roman" w:hAnsi="Times New Roman"/>
          <w:sz w:val="20"/>
          <w:szCs w:val="20"/>
          <w:color w:val="auto"/>
        </w:rPr>
        <w:t xml:space="preserve">Section 5.03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The Borrower will, and will cause each Material Restricted Subsidiary to, do or cause to be done all things necessary to obtain, preserve, maintain, renew and keep in full force and effect (a) its legal existence and (b) the rights, licenses, permits, privileges, franchises, and IP Rights material to the conduct of its business, except,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to the extent that failure to do so would not reasonably be expected to have a Material Adverse Effect;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prohibit any transaction permitted under this Agreement.</w:t>
      </w:r>
    </w:p>
    <w:p>
      <w:pPr>
        <w:spacing w:after="0" w:line="185" w:lineRule="exact"/>
        <w:rPr>
          <w:sz w:val="20"/>
          <w:szCs w:val="20"/>
          <w:color w:val="auto"/>
        </w:rPr>
      </w:pPr>
    </w:p>
    <w:p>
      <w:pPr>
        <w:jc w:val="both"/>
        <w:ind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The Borrower will, and will cause each Material Restricted Subsidiary to, pay its Tax liabilities before the same shall become delinquent or in default, except (a) where (1) the validity or amount thereof is being contested in good faith by appropriate proceedings and (2) the Borrower or such Material Restricted Subsidiary has set aside on its books adequate reserves with respect thereto in accordance with GAAP, or (b) for any failures to pay that would not reasonably be expected to have a Material Adverse Effect.</w:t>
      </w:r>
    </w:p>
    <w:p>
      <w:pPr>
        <w:spacing w:after="0" w:line="185" w:lineRule="exact"/>
        <w:rPr>
          <w:sz w:val="20"/>
          <w:szCs w:val="20"/>
          <w:color w:val="auto"/>
        </w:rPr>
      </w:pPr>
    </w:p>
    <w:p>
      <w:pPr>
        <w:jc w:val="both"/>
        <w:ind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The Borrower will, and will cause each Material Restricted Subsidiary to, keep and maintain all tangible property material to the conduct of its business in good working order and condition, ordinary wear and tear excepted, except (a) pursuant to transactions permitted under this Agreement or (b) where the failure to do so would not reasonably be expected to have a Material Adverse Effect.</w:t>
      </w:r>
    </w:p>
    <w:p>
      <w:pPr>
        <w:spacing w:after="0" w:line="176" w:lineRule="exact"/>
        <w:rPr>
          <w:sz w:val="20"/>
          <w:szCs w:val="20"/>
          <w:color w:val="auto"/>
        </w:rPr>
      </w:pPr>
    </w:p>
    <w:p>
      <w:pPr>
        <w:jc w:val="both"/>
        <w:ind w:firstLine="1542"/>
        <w:spacing w:after="0" w:line="246"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i w:val="1"/>
          <w:iCs w:val="1"/>
          <w:color w:val="auto"/>
        </w:rPr>
        <w:t>Generally.</w:t>
      </w:r>
      <w:r>
        <w:rPr>
          <w:rFonts w:ascii="Times New Roman" w:cs="Times New Roman" w:eastAsia="Times New Roman" w:hAnsi="Times New Roman"/>
          <w:sz w:val="20"/>
          <w:szCs w:val="20"/>
          <w:color w:val="auto"/>
        </w:rPr>
        <w:t xml:space="preserve"> The Borrower will, and will cause each Material Restricted Subsidiary to maintain in all material respects insurance with companies believed by the Borrower to be financially sound and reputable,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Restricted Subsidiaries) as are customarily carried under similar circumstances by such other Persons.</w:t>
      </w:r>
    </w:p>
    <w:p>
      <w:pPr>
        <w:spacing w:after="0" w:line="179" w:lineRule="exact"/>
        <w:rPr>
          <w:sz w:val="20"/>
          <w:szCs w:val="20"/>
          <w:color w:val="auto"/>
        </w:rPr>
      </w:pPr>
    </w:p>
    <w:p>
      <w:pPr>
        <w:jc w:val="both"/>
        <w:ind w:right="20" w:firstLine="767"/>
        <w:spacing w:after="0" w:line="246" w:lineRule="auto"/>
        <w:tabs>
          <w:tab w:leader="none" w:pos="105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Requirements of Insurance</w:t>
      </w:r>
      <w:r>
        <w:rPr>
          <w:rFonts w:ascii="Times New Roman" w:cs="Times New Roman" w:eastAsia="Times New Roman" w:hAnsi="Times New Roman"/>
          <w:sz w:val="20"/>
          <w:szCs w:val="20"/>
          <w:color w:val="auto"/>
        </w:rPr>
        <w:t>. All such insurance shall (i) provide that no cancellation thereof shall be effective until at least 10</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days (or, to the extent reasonably available, 30 days) after receipt by the Collateral Agent of written notice thereof (the Borrower shall deliver a copy of the policy (and to the extent any such policy is cancelled or renewed, a renewal or replacement policy) or other evidence thereof to the Administrative Agent and the Collateral Agent, or insurance certificate with respect thereto) and (ii) name the Collateral Agent as loss payee (in the case of property insurance) or additional insured on behalf of the Secured Parties (in the case of liability insurance) (it being understood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ectPr>
          <w:pgSz w:w="11900" w:h="16838" w:orient="portrait"/>
          <w:cols w:equalWidth="0" w:num="1">
            <w:col w:w="11020"/>
          </w:cols>
          <w:pgMar w:left="440" w:top="265" w:right="439" w:bottom="1440" w:gutter="0" w:footer="0" w:header="0"/>
        </w:sectPr>
      </w:pPr>
    </w:p>
    <w:bookmarkStart w:id="106" w:name="page107"/>
    <w:bookmarkEnd w:id="106"/>
    <w:p>
      <w:pPr>
        <w:jc w:val="both"/>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absent an Event of Default, any proceeds of any such property insurance shall be delivered by the insurer(s) to Borrower or one of its Restricted Subsidiaries and applied in accordance with this Agreement), as applicable.</w:t>
      </w:r>
    </w:p>
    <w:p>
      <w:pPr>
        <w:spacing w:after="0" w:line="159"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Books and Records; Inspection and Audit Rights</w:t>
      </w:r>
      <w:r>
        <w:rPr>
          <w:rFonts w:ascii="Times New Roman" w:cs="Times New Roman" w:eastAsia="Times New Roman" w:hAnsi="Times New Roman"/>
          <w:sz w:val="20"/>
          <w:szCs w:val="20"/>
          <w:color w:val="auto"/>
        </w:rPr>
        <w:t xml:space="preserve">. The Borrower will, and will cause each Restricted Subsidiary to, keep proper books of record and account in a manner sufficient to (a) permit the preparation of financial statements in accordance with GAAP and (b) calculate the Financial Covenants. Subject to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the Borrower will, and will cause each Restricted Subsidiary to, permit any representatives designated by the Administrative Agent (or, during an Event of Default,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the opportunity to participate in any discussions with such officers and independent accountants), all at such reasonable times and as often as reasonably requested;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the Administrative Agent shall not exercise such rights more often than one time during any calendar year at the Borrower’s expense. Notwithstanding anything to the contrary in this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 none of the Borrower or its Restricted Subsidiaries will be required to disclose, permit the inspection, examination or making of extracts, or discussion of, any documents, information or other matter (i) in respect of which disclosure to the Administrative Agent (or, as applicable, any Lender or any of their respective designated representatives) is then prohibited by law, rule or regulation or any agreement binding on the Borrower or any of its Restricted Subsidiaries, (ii) that consists of non-financial trade secrets or proprietary computer programs, client and vendor proprietary information, source code, proprietary technology and similar proprietary information or (iii) that is subject to attorney-client or similar privilege or constitutes attorney work-product.</w:t>
      </w:r>
    </w:p>
    <w:p>
      <w:pPr>
        <w:spacing w:after="0" w:line="19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Compliance with Laws.</w:t>
      </w:r>
    </w:p>
    <w:p>
      <w:pPr>
        <w:spacing w:after="0" w:line="216" w:lineRule="exact"/>
        <w:rPr>
          <w:sz w:val="20"/>
          <w:szCs w:val="20"/>
          <w:color w:val="auto"/>
        </w:rPr>
      </w:pPr>
    </w:p>
    <w:p>
      <w:pPr>
        <w:ind w:firstLine="767"/>
        <w:spacing w:after="0" w:line="269" w:lineRule="auto"/>
        <w:tabs>
          <w:tab w:leader="none" w:pos="105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Restricted Subsidiary to, comply with all Requirements of Law with respect to it or its property, except where the failure to do so would not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firstLine="767"/>
        <w:spacing w:after="0" w:line="254" w:lineRule="auto"/>
        <w:tabs>
          <w:tab w:leader="none" w:pos="106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maintain in effect and enforce policies and procedures reasonably designed to achieve compliance in all material respects by the Borrower, its Restricted Subsidiaries and their respective directors, officers, employees and agents with Anti-Corruption Laws and applicable Sanctions.</w:t>
      </w:r>
    </w:p>
    <w:p>
      <w:pPr>
        <w:spacing w:after="0" w:line="1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Use of Proceeds and Letters of Credit.</w:t>
      </w:r>
    </w:p>
    <w:p>
      <w:pPr>
        <w:spacing w:after="0" w:line="216" w:lineRule="exact"/>
        <w:rPr>
          <w:sz w:val="20"/>
          <w:szCs w:val="20"/>
          <w:color w:val="auto"/>
        </w:rPr>
      </w:pPr>
    </w:p>
    <w:p>
      <w:pPr>
        <w:jc w:val="both"/>
        <w:ind w:firstLine="767"/>
        <w:spacing w:after="0" w:line="254" w:lineRule="auto"/>
        <w:tabs>
          <w:tab w:leader="none" w:pos="105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Revolving Loans will be used for working capital and other general corporate purposes. No part of the proceeds of any Loan will be used, whether directly or indirectly, for any purpose that entails a violation of any of the Regulations of the Board, including Regulations T, U and X. Letters of Credit will be used for general corporate purposes.</w:t>
      </w:r>
    </w:p>
    <w:p>
      <w:pPr>
        <w:spacing w:after="0" w:line="174" w:lineRule="exact"/>
        <w:rPr>
          <w:rFonts w:ascii="Times New Roman" w:cs="Times New Roman" w:eastAsia="Times New Roman" w:hAnsi="Times New Roman"/>
          <w:sz w:val="20"/>
          <w:szCs w:val="20"/>
          <w:color w:val="auto"/>
        </w:rPr>
      </w:pPr>
    </w:p>
    <w:p>
      <w:pPr>
        <w:jc w:val="both"/>
        <w:ind w:firstLine="767"/>
        <w:spacing w:after="0" w:line="249" w:lineRule="auto"/>
        <w:tabs>
          <w:tab w:leader="none" w:pos="1052"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to the extent in violation of applicable Sanctions, or in any other manner that will result in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020"/>
          </w:cols>
          <w:pgMar w:left="440" w:top="265" w:right="439" w:bottom="1440" w:gutter="0" w:footer="0" w:header="0"/>
        </w:sectPr>
      </w:pPr>
    </w:p>
    <w:bookmarkStart w:id="107" w:name="page108"/>
    <w:bookmarkEnd w:id="107"/>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violation by any individual or entity (including any individual or entity participating in the transaction, whether as Lender, Arranger, Administrative Agent, Issuing Bank or otherwise) of applicable Sanctions.</w:t>
      </w:r>
    </w:p>
    <w:p>
      <w:pPr>
        <w:spacing w:after="0" w:line="159" w:lineRule="exact"/>
        <w:rPr>
          <w:sz w:val="20"/>
          <w:szCs w:val="20"/>
          <w:color w:val="auto"/>
        </w:rPr>
      </w:pPr>
    </w:p>
    <w:p>
      <w:pPr>
        <w:jc w:val="both"/>
        <w:ind w:right="20" w:firstLine="767"/>
        <w:spacing w:after="0" w:line="254" w:lineRule="auto"/>
        <w:tabs>
          <w:tab w:leader="none" w:pos="104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spacing w:after="0" w:line="174" w:lineRule="exact"/>
        <w:rPr>
          <w:sz w:val="20"/>
          <w:szCs w:val="20"/>
          <w:color w:val="auto"/>
        </w:rPr>
      </w:pPr>
    </w:p>
    <w:p>
      <w:pPr>
        <w:jc w:val="both"/>
        <w:ind w:firstLine="1542"/>
        <w:spacing w:after="0" w:line="245"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Additional Collateral; Additional Guarantors</w:t>
      </w:r>
      <w:r>
        <w:rPr>
          <w:rFonts w:ascii="Times New Roman" w:cs="Times New Roman" w:eastAsia="Times New Roman" w:hAnsi="Times New Roman"/>
          <w:sz w:val="20"/>
          <w:szCs w:val="20"/>
          <w:color w:val="auto"/>
        </w:rPr>
        <w:t xml:space="preserve">. At the Borrower’s expense, each Loan Party shall take all action either necessary or as reasonably requested by the Administrative Agent or the Collateral Agent to ensure that the Collateral and Guarantee Requirement continues to be satisfied, including, upon (x) the formation or acquisition of any new direct or indirect Subsidiary (in each case, other than an Excluded Subsidiary) by the Borrower, (y) any Excluded Subsidiary ceasing to constitute an Excluded Subsidiary or (z) the designation in accordance with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color w:val="auto"/>
        </w:rPr>
        <w:t xml:space="preserve"> of an existing direct or indirect Wholly-Owned Subsidiary (other than an Excluded Subsidiary) as a Restricted Subsidiary:</w:t>
      </w:r>
    </w:p>
    <w:p>
      <w:pPr>
        <w:spacing w:after="0" w:line="184" w:lineRule="exact"/>
        <w:rPr>
          <w:sz w:val="20"/>
          <w:szCs w:val="20"/>
          <w:color w:val="auto"/>
        </w:rPr>
      </w:pPr>
    </w:p>
    <w:p>
      <w:pPr>
        <w:ind w:left="760" w:right="20" w:firstLine="724"/>
        <w:spacing w:after="0" w:line="269" w:lineRule="auto"/>
        <w:tabs>
          <w:tab w:leader="none" w:pos="181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such formation, acquisition, cessation or designation, or such longer period as the Administrative Agent may agree in writing in its reasonable discretion, notify the Administrative Agent thereof and:</w:t>
      </w:r>
    </w:p>
    <w:p>
      <w:pPr>
        <w:spacing w:after="0" w:line="159" w:lineRule="exact"/>
        <w:rPr>
          <w:rFonts w:ascii="Times New Roman" w:cs="Times New Roman" w:eastAsia="Times New Roman" w:hAnsi="Times New Roman"/>
          <w:sz w:val="20"/>
          <w:szCs w:val="20"/>
          <w:color w:val="auto"/>
        </w:rPr>
      </w:pPr>
    </w:p>
    <w:p>
      <w:pPr>
        <w:jc w:val="both"/>
        <w:ind w:left="1540" w:right="20" w:firstLine="661"/>
        <w:spacing w:after="0" w:line="244" w:lineRule="auto"/>
        <w:tabs>
          <w:tab w:leader="none" w:pos="2479"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each such Domestic Subsidiary to duly execute and deliver to the Administrative Agent or the Collateral Agent (as appropriate) joinders to this Agreement as Guarantors, Security Agreement Supplements, Intellectual Property Security Agreements, a counterpart of the Intercompany Note, each Intercreditor Agreement, if applicable, and other security agreements and documents, as reasonably requested by and in form and substance reasonably satisfactory to the Administrative Agent (consistent with the, Security Agreement and other security agreements in effect on the Closing Date), in each case granting Liens required by the Collateral and Guarantee Requirement;</w:t>
      </w:r>
    </w:p>
    <w:p>
      <w:pPr>
        <w:spacing w:after="0" w:line="185" w:lineRule="exact"/>
        <w:rPr>
          <w:rFonts w:ascii="Times New Roman" w:cs="Times New Roman" w:eastAsia="Times New Roman" w:hAnsi="Times New Roman"/>
          <w:sz w:val="20"/>
          <w:szCs w:val="20"/>
          <w:color w:val="auto"/>
        </w:rPr>
      </w:pPr>
    </w:p>
    <w:p>
      <w:pPr>
        <w:jc w:val="both"/>
        <w:ind w:left="1540" w:firstLine="661"/>
        <w:spacing w:after="0" w:line="249" w:lineRule="auto"/>
        <w:tabs>
          <w:tab w:leader="none" w:pos="2551"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each such Domestic Subsidiary (and the parent of each such Domestic Subsidiary that is a Guarantor) to deliver any and all certificates representing Equity Interests (to the extent certificated) and intercompany notes (to the extent certificated) that are required to be pledged pursuant to the Collateral and Guarantee Requirement, accompanied by undated stock powers or other appropriate instruments of transfer executed in blank;</w:t>
      </w:r>
    </w:p>
    <w:p>
      <w:pPr>
        <w:spacing w:after="0" w:line="179" w:lineRule="exact"/>
        <w:rPr>
          <w:rFonts w:ascii="Times New Roman" w:cs="Times New Roman" w:eastAsia="Times New Roman" w:hAnsi="Times New Roman"/>
          <w:sz w:val="20"/>
          <w:szCs w:val="20"/>
          <w:color w:val="auto"/>
        </w:rPr>
      </w:pPr>
    </w:p>
    <w:p>
      <w:pPr>
        <w:jc w:val="both"/>
        <w:ind w:left="1540" w:right="20" w:firstLine="661"/>
        <w:spacing w:after="0" w:line="245" w:lineRule="auto"/>
        <w:tabs>
          <w:tab w:leader="none" w:pos="2549"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and cause such Domestic Subsidiary and each direct or indirect parent of such Domestic Subsidiary to take whatever action (including the filing of Uniform Commercial Code financing statements and Intellectual Property Security Agreements, and delivery of stock and membership interest certificates) as may be necessary in the reasonable opinion of the Collateral Agent to vest in the Collateral Agent (or in any representative of the Collateral Agent designated by it) valid and perfected Liens to the extent required by the Collateral and Guarantee Requirement, and to otherwise comply with the requirements of the Collateral and Guarantee Requirement; and</w:t>
      </w:r>
    </w:p>
    <w:p>
      <w:pPr>
        <w:spacing w:after="0" w:line="18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reasonably requested by the Administrative Agent or the Collateral Agent, within 60 days after such request (or such longer period as the Administrative Agent may agree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ectPr>
          <w:pgSz w:w="11900" w:h="16838" w:orient="portrait"/>
          <w:cols w:equalWidth="0" w:num="1">
            <w:col w:w="11020"/>
          </w:cols>
          <w:pgMar w:left="440" w:top="265" w:right="439" w:bottom="1440" w:gutter="0" w:footer="0" w:header="0"/>
        </w:sectPr>
      </w:pPr>
    </w:p>
    <w:bookmarkStart w:id="108" w:name="page109"/>
    <w:bookmarkEnd w:id="108"/>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writing in its reasonable discretion), deliver to the Collateral Agent any other items necessary from time to time to satisfy the Collateral and Guarantee Requirement with respect to perfection and existence of security interests with respect to property of any Guarantor acquired after the Closing Date and subject to the Collateral and Guarantee Requirement, but not specifically covered by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1542"/>
        <w:spacing w:after="0" w:line="245"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Promptly upon reasonable request by the Administrative Agent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the Administrative Agent may reasonably request from time to time in order to carry out more effectively the purposes of any Collateral Documents, to the extent required pursuant to the Collateral and Guarantee Requirement.</w:t>
      </w:r>
    </w:p>
    <w:p>
      <w:pPr>
        <w:spacing w:after="0" w:line="184" w:lineRule="exact"/>
        <w:rPr>
          <w:sz w:val="20"/>
          <w:szCs w:val="20"/>
          <w:color w:val="auto"/>
        </w:rPr>
      </w:pPr>
    </w:p>
    <w:p>
      <w:pPr>
        <w:jc w:val="both"/>
        <w:ind w:right="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5.12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xml:space="preserve">. The Borrower may at any time designate any Restricted Subsidiary (other than a Specified Subsidiary) of the Borrower as an Unrestricted Subsidiary or any Unrestricted Subsidiary as a Restricted Subsidiary;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immediately before and after such designation, no Event of Default shall have occurred and be continuing. The designation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any Subsidiary as an Unrestricted Subsidiary after the Closing Date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 (i) the incurrence at the time of designation of any Investment, Indebtedness or Liens of such Subsidiary existing at such time and (ii) a return on any Investment by the Borrower in Unrestricted Subsidiaries pursuant to the preceding sentence in an amount equal to the fair market value at the date of such designation of the Borrower’s or its Restricted Subsidiary’s (as applicable) Investment in such Subsidiary.</w:t>
      </w:r>
    </w:p>
    <w:p>
      <w:pPr>
        <w:spacing w:after="0" w:line="186" w:lineRule="exact"/>
        <w:rPr>
          <w:sz w:val="20"/>
          <w:szCs w:val="20"/>
          <w:color w:val="auto"/>
        </w:rPr>
      </w:pPr>
    </w:p>
    <w:p>
      <w:pPr>
        <w:jc w:val="both"/>
        <w:ind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Post-Closing Covenants</w:t>
      </w:r>
      <w:r>
        <w:rPr>
          <w:rFonts w:ascii="Times New Roman" w:cs="Times New Roman" w:eastAsia="Times New Roman" w:hAnsi="Times New Roman"/>
          <w:sz w:val="20"/>
          <w:szCs w:val="20"/>
          <w:color w:val="auto"/>
        </w:rPr>
        <w:t>. The Borrower agrees to deliver, or cause to be delivered, to the Administrative Agent, in form and substance reasonably satisfactory to the Administrative Agent, the items described on Schedule 5.13 hereof.</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NEGATIVE COVENANTS</w:t>
      </w:r>
    </w:p>
    <w:p>
      <w:pPr>
        <w:spacing w:after="0" w:line="194"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Beginning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applicable Issuing Banks, the Borrower covenants and agrees with the Lenders that:</w:t>
      </w:r>
    </w:p>
    <w:p>
      <w:pPr>
        <w:spacing w:after="0" w:line="1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6.01 </w:t>
      </w:r>
      <w:r>
        <w:rPr>
          <w:rFonts w:ascii="Times New Roman" w:cs="Times New Roman" w:eastAsia="Times New Roman" w:hAnsi="Times New Roman"/>
          <w:sz w:val="20"/>
          <w:szCs w:val="20"/>
          <w:u w:val="single" w:color="auto"/>
          <w:color w:val="auto"/>
        </w:rPr>
        <w:t>Indebtedness.</w:t>
      </w:r>
    </w:p>
    <w:p>
      <w:pPr>
        <w:spacing w:after="0" w:line="216"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The Borrower will not, nor will it permit any Restricted Subsidiary to, create, incur, assume or permit to exist any Indebtedness other than:</w:t>
      </w:r>
    </w:p>
    <w:p>
      <w:pPr>
        <w:spacing w:after="0" w:line="15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 Indebtedness under the Loan Documents;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ectPr>
          <w:pgSz w:w="11900" w:h="16838" w:orient="portrait"/>
          <w:cols w:equalWidth="0" w:num="1">
            <w:col w:w="11020"/>
          </w:cols>
          <w:pgMar w:left="440" w:top="265" w:right="439" w:bottom="1440" w:gutter="0" w:footer="0" w:header="0"/>
        </w:sectPr>
      </w:pPr>
    </w:p>
    <w:bookmarkStart w:id="109" w:name="page110"/>
    <w:bookmarkEnd w:id="109"/>
    <w:p>
      <w:pPr>
        <w:jc w:val="both"/>
        <w:ind w:left="-240" w:right="20" w:firstLine="724"/>
        <w:spacing w:after="0" w:line="254" w:lineRule="auto"/>
        <w:tabs>
          <w:tab w:leader="none" w:pos="77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Indebtedness outstanding on the Closing Date as set forth on </w:t>
      </w:r>
      <w:r>
        <w:rPr>
          <w:rFonts w:ascii="Times New Roman" w:cs="Times New Roman" w:eastAsia="Times New Roman" w:hAnsi="Times New Roman"/>
          <w:sz w:val="20"/>
          <w:szCs w:val="20"/>
          <w:u w:val="single" w:color="auto"/>
          <w:color w:val="auto"/>
        </w:rPr>
        <w:t>Schedule 6.01(b)</w:t>
      </w:r>
      <w:r>
        <w:rPr>
          <w:rFonts w:ascii="Times New Roman" w:cs="Times New Roman" w:eastAsia="Times New Roman" w:hAnsi="Times New Roman"/>
          <w:sz w:val="20"/>
          <w:szCs w:val="20"/>
          <w:color w:val="auto"/>
        </w:rPr>
        <w:t xml:space="preserve"> and any Permitted Refinancing Indebtedness in respect thereof and (ii) Indebtedness owed by the Borrower and its Restricted Subsidiaries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240" w:right="20" w:firstLine="724"/>
        <w:spacing w:after="0" w:line="254" w:lineRule="auto"/>
        <w:tabs>
          <w:tab w:leader="none" w:pos="76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Borrower or any Restricted Subsidiary of Indebtedness of the Borrower or any other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Indebtedness so Guaranteed is otherwise permitted to be incurred by the Borrower or such Restricted Subsidiary under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240" w:right="20" w:firstLine="724"/>
        <w:spacing w:after="0" w:line="246" w:lineRule="auto"/>
        <w:tabs>
          <w:tab w:leader="none" w:pos="766"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Borrower or any Restricted Subsidiary in respect of letters of credit, bank guarantees, bankers’ acceptances, warehouse receipts or similar instruments issued or created, or relating to obligations or liabilities incurred, in the ordinary course of business or consistent with past practice, including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4"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55"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174" w:lineRule="exact"/>
        <w:rPr>
          <w:rFonts w:ascii="Times New Roman" w:cs="Times New Roman" w:eastAsia="Times New Roman" w:hAnsi="Times New Roman"/>
          <w:sz w:val="20"/>
          <w:szCs w:val="20"/>
          <w:color w:val="auto"/>
        </w:rPr>
      </w:pPr>
    </w:p>
    <w:p>
      <w:pPr>
        <w:ind w:left="-240" w:right="20" w:firstLine="724"/>
        <w:spacing w:after="0" w:line="269" w:lineRule="auto"/>
        <w:tabs>
          <w:tab w:leader="none" w:pos="73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non-speculative Swap Contracts relating to the business or operations of the Borrower or any Restricted Subsidiary;</w:t>
      </w:r>
    </w:p>
    <w:p>
      <w:pPr>
        <w:spacing w:after="0" w:line="159" w:lineRule="exact"/>
        <w:rPr>
          <w:rFonts w:ascii="Times New Roman" w:cs="Times New Roman" w:eastAsia="Times New Roman" w:hAnsi="Times New Roman"/>
          <w:sz w:val="20"/>
          <w:szCs w:val="20"/>
          <w:color w:val="auto"/>
        </w:rPr>
      </w:pPr>
    </w:p>
    <w:p>
      <w:pPr>
        <w:ind w:left="-240" w:right="20" w:firstLine="724"/>
        <w:spacing w:after="0" w:line="269" w:lineRule="auto"/>
        <w:tabs>
          <w:tab w:leader="none" w:pos="779"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honoring by a bank or financial institution of a check or similar instrument drawn against insufficient funds in the ordinary course of business, so long as such Indebtedness is repaid within five Business Days;</w:t>
      </w:r>
    </w:p>
    <w:p>
      <w:pPr>
        <w:spacing w:after="0" w:line="159" w:lineRule="exact"/>
        <w:rPr>
          <w:rFonts w:ascii="Times New Roman" w:cs="Times New Roman" w:eastAsia="Times New Roman" w:hAnsi="Times New Roman"/>
          <w:sz w:val="20"/>
          <w:szCs w:val="20"/>
          <w:color w:val="auto"/>
        </w:rPr>
      </w:pPr>
    </w:p>
    <w:p>
      <w:pPr>
        <w:jc w:val="both"/>
        <w:ind w:left="-240" w:firstLine="724"/>
        <w:spacing w:after="0" w:line="246" w:lineRule="auto"/>
        <w:tabs>
          <w:tab w:leader="none" w:pos="76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letters of credit, guarantees, counter-indemnities and short term facilities incurred by any Restricted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advances thereunder are repaid within 10 days following the date of such advance or any drawing under any letter of credit or guarantee;</w:t>
      </w:r>
    </w:p>
    <w:p>
      <w:pPr>
        <w:spacing w:after="0" w:line="184" w:lineRule="exact"/>
        <w:rPr>
          <w:rFonts w:ascii="Times New Roman" w:cs="Times New Roman" w:eastAsia="Times New Roman" w:hAnsi="Times New Roman"/>
          <w:sz w:val="20"/>
          <w:szCs w:val="20"/>
          <w:color w:val="auto"/>
        </w:rPr>
      </w:pPr>
    </w:p>
    <w:p>
      <w:pPr>
        <w:jc w:val="both"/>
        <w:ind w:left="-240" w:firstLine="724"/>
        <w:spacing w:after="0" w:line="249" w:lineRule="auto"/>
        <w:tabs>
          <w:tab w:leader="none" w:pos="72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loans, advances or other outstanding Indebtedness thereunder are repaid within 10 days following the date on which such loan or advance was made or any other such Indebtedness was incurred;</w:t>
      </w:r>
    </w:p>
    <w:p>
      <w:pPr>
        <w:spacing w:after="0" w:line="179" w:lineRule="exact"/>
        <w:rPr>
          <w:rFonts w:ascii="Times New Roman" w:cs="Times New Roman" w:eastAsia="Times New Roman" w:hAnsi="Times New Roman"/>
          <w:sz w:val="20"/>
          <w:szCs w:val="20"/>
          <w:color w:val="auto"/>
        </w:rPr>
      </w:pPr>
    </w:p>
    <w:p>
      <w:pPr>
        <w:jc w:val="both"/>
        <w:ind w:left="-240" w:firstLine="724"/>
        <w:spacing w:after="0" w:line="254" w:lineRule="auto"/>
        <w:tabs>
          <w:tab w:leader="none" w:pos="72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Regulated Subsidiaries or any direct or indirect parent of any such Regulated Subsidiary that does not increase regulatory capital incurred to satisfy such Regulated Subsidiary’s determination of any requirement imposed at any time or from time to time by any Governmental Authority;</w:t>
      </w:r>
    </w:p>
    <w:p>
      <w:pPr>
        <w:spacing w:after="0" w:line="174" w:lineRule="exact"/>
        <w:rPr>
          <w:rFonts w:ascii="Times New Roman" w:cs="Times New Roman" w:eastAsia="Times New Roman" w:hAnsi="Times New Roman"/>
          <w:sz w:val="20"/>
          <w:szCs w:val="20"/>
          <w:color w:val="auto"/>
        </w:rPr>
      </w:pPr>
    </w:p>
    <w:p>
      <w:pPr>
        <w:ind w:left="760" w:hanging="276"/>
        <w:spacing w:after="0"/>
        <w:tabs>
          <w:tab w:leader="none" w:pos="76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the financing of insurance premiums in the ordinary course of business.</w:t>
      </w:r>
    </w:p>
    <w:p>
      <w:pPr>
        <w:spacing w:after="0" w:line="14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-97-</w:t>
      </w:r>
    </w:p>
    <w:p>
      <w:pPr>
        <w:sectPr>
          <w:pgSz w:w="11900" w:h="16838" w:orient="portrait"/>
          <w:cols w:equalWidth="0" w:num="1">
            <w:col w:w="10020"/>
          </w:cols>
          <w:pgMar w:left="1440" w:top="265" w:right="439" w:bottom="1440" w:gutter="0" w:footer="0" w:header="0"/>
        </w:sectPr>
      </w:pPr>
    </w:p>
    <w:bookmarkStart w:id="110" w:name="page111"/>
    <w:bookmarkEnd w:id="110"/>
    <w:p>
      <w:pPr>
        <w:jc w:val="both"/>
        <w:ind w:left="-7" w:firstLine="724"/>
        <w:spacing w:after="0" w:line="258" w:lineRule="auto"/>
        <w:tabs>
          <w:tab w:leader="none" w:pos="988"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Indebtedness of the Borrower or any Restricted Subsidiary consisting of purchase money Indebtedness for purposes of acquiring fixed or capital assets and Capital Lease Obligations;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immediately after giving effect to the incurrence of such Indebtedness, the Borrower would be in compliance on a Pro Forma Basis with the Financial Covenants as of the most recent test date for which financial statements have been delivered pursuant to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and</w:t>
      </w:r>
    </w:p>
    <w:p>
      <w:pPr>
        <w:ind w:left="293" w:hanging="293"/>
        <w:spacing w:after="0"/>
        <w:tabs>
          <w:tab w:leader="none" w:pos="29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Refinancing Indebtedness in respect thereof;</w:t>
      </w:r>
    </w:p>
    <w:p>
      <w:pPr>
        <w:spacing w:after="0" w:line="193" w:lineRule="exact"/>
        <w:rPr>
          <w:rFonts w:ascii="Times New Roman" w:cs="Times New Roman" w:eastAsia="Times New Roman" w:hAnsi="Times New Roman"/>
          <w:sz w:val="20"/>
          <w:szCs w:val="20"/>
          <w:color w:val="auto"/>
        </w:rPr>
      </w:pPr>
    </w:p>
    <w:p>
      <w:pPr>
        <w:jc w:val="both"/>
        <w:ind w:left="-7" w:right="20" w:firstLine="724"/>
        <w:spacing w:after="0" w:line="254" w:lineRule="auto"/>
        <w:tabs>
          <w:tab w:leader="none" w:pos="105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of the Borrower or any Restricted Subsidiary providing for indemnification, adjustment of purchase or acquisition price or similar obligations, in each case, incurred or assumed in connection with any acquisition, Investment or the disposition of any business, assets or a Restricted Subsidiary not prohibited by this Agreement;</w:t>
      </w:r>
    </w:p>
    <w:p>
      <w:pPr>
        <w:spacing w:after="0" w:line="174"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100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in excess of 105% of the stated amount of such Letter of Credit;</w:t>
      </w:r>
    </w:p>
    <w:p>
      <w:pPr>
        <w:spacing w:after="0" w:line="159" w:lineRule="exact"/>
        <w:rPr>
          <w:rFonts w:ascii="Times New Roman" w:cs="Times New Roman" w:eastAsia="Times New Roman" w:hAnsi="Times New Roman"/>
          <w:sz w:val="20"/>
          <w:szCs w:val="20"/>
          <w:color w:val="auto"/>
        </w:rPr>
      </w:pPr>
    </w:p>
    <w:p>
      <w:pPr>
        <w:jc w:val="both"/>
        <w:ind w:left="-7" w:right="20" w:firstLine="724"/>
        <w:spacing w:after="0" w:line="249" w:lineRule="auto"/>
        <w:tabs>
          <w:tab w:leader="none" w:pos="1057"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or similar arrangements to any future, present or former employees, directors, officers, managers, members, partners, independent contractors or consultants of the Borrower (or any direct or indirect parent ,including Public Company Parent, thereof) or any of its Restricted Subsidiaries incurred in the ordinary course of business or consistent with past practice;</w:t>
      </w:r>
    </w:p>
    <w:p>
      <w:pPr>
        <w:spacing w:after="0" w:line="179" w:lineRule="exact"/>
        <w:rPr>
          <w:rFonts w:ascii="Times New Roman" w:cs="Times New Roman" w:eastAsia="Times New Roman" w:hAnsi="Times New Roman"/>
          <w:sz w:val="20"/>
          <w:szCs w:val="20"/>
          <w:color w:val="auto"/>
        </w:rPr>
      </w:pPr>
    </w:p>
    <w:p>
      <w:pPr>
        <w:jc w:val="both"/>
        <w:ind w:left="-7" w:right="20" w:firstLine="724"/>
        <w:spacing w:after="0" w:line="249" w:lineRule="auto"/>
        <w:tabs>
          <w:tab w:leader="none" w:pos="996"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promissory notes issued by the Borrower to future, present or former officers, managers, members, independent contractors, consultants, directors and employees, their respective Controlled Investment Affiliates or Immediate Family Members, in each case, to finance the purchase or redemption of Equity Interests of the Borrower or any direct or indirect parent (including Public Company Parent)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7" w:right="20" w:firstLine="724"/>
        <w:spacing w:after="0" w:line="254" w:lineRule="auto"/>
        <w:tabs>
          <w:tab w:leader="none" w:pos="103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Treasury Services Agreements and other Indebtedness in respect of netting services, automatic clearinghouse arrangements, overdraft protections and similar arrangements in each case in connection with deposit accounts;</w:t>
      </w:r>
    </w:p>
    <w:p>
      <w:pPr>
        <w:spacing w:after="0" w:line="174"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974"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attributable to (but not incurred to finance) the exercise of appraisal rights and the settlement of any claims or actions (whether actual, contingent or potential) with respect thereto;</w:t>
      </w:r>
    </w:p>
    <w:p>
      <w:pPr>
        <w:spacing w:after="0" w:line="159" w:lineRule="exact"/>
        <w:rPr>
          <w:rFonts w:ascii="Times New Roman" w:cs="Times New Roman" w:eastAsia="Times New Roman" w:hAnsi="Times New Roman"/>
          <w:sz w:val="20"/>
          <w:szCs w:val="20"/>
          <w:color w:val="auto"/>
        </w:rPr>
      </w:pPr>
    </w:p>
    <w:p>
      <w:pPr>
        <w:jc w:val="both"/>
        <w:ind w:left="-7" w:right="20" w:firstLine="724"/>
        <w:spacing w:after="0" w:line="254" w:lineRule="auto"/>
        <w:tabs>
          <w:tab w:leader="none" w:pos="992"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non-Loan Parties and other secured or unsecured Indebtedness in an aggregate principal amount outstanding not to exceed the greater of $125,000,000 and 50.0% of LTM Consolidated EBITDA (at the time of incurrence) and, without duplication, any Permitted Refinancing Indebtedness in respect thereof;</w:t>
      </w:r>
    </w:p>
    <w:p>
      <w:pPr>
        <w:spacing w:after="0" w:line="174" w:lineRule="exact"/>
        <w:rPr>
          <w:rFonts w:ascii="Times New Roman" w:cs="Times New Roman" w:eastAsia="Times New Roman" w:hAnsi="Times New Roman"/>
          <w:sz w:val="20"/>
          <w:szCs w:val="20"/>
          <w:color w:val="auto"/>
        </w:rPr>
      </w:pPr>
    </w:p>
    <w:p>
      <w:pPr>
        <w:jc w:val="both"/>
        <w:ind w:left="-7" w:firstLine="724"/>
        <w:spacing w:after="0" w:line="246" w:lineRule="auto"/>
        <w:tabs>
          <w:tab w:leader="none" w:pos="949"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the Borrower or any Guarantor that is either (x) unsecured, (y) secured on a junior lien basis with the Obligations or (z)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in each case, that (I) such Indebtedness complies with the Applicable Requirements, (II) no Default or Event of Default shall have occurred and be continuing and (III) immediately after giving effect to the incurrence of such Indebtedness, the Borrower would be in compliance on a Pro Forma Basis with the Financial Covenants; and (ii) Permitted Refinancing Indebtedness in respect thereof;</w:t>
      </w:r>
    </w:p>
    <w:p>
      <w:pPr>
        <w:spacing w:after="0" w:line="117" w:lineRule="exact"/>
        <w:rPr>
          <w:sz w:val="20"/>
          <w:szCs w:val="20"/>
          <w:color w:val="auto"/>
        </w:rPr>
      </w:pPr>
    </w:p>
    <w:p>
      <w:pPr>
        <w:ind w:left="4613"/>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253"/>
          </w:cols>
          <w:pgMar w:left="1207" w:top="265" w:right="439" w:bottom="1440" w:gutter="0" w:footer="0" w:header="0"/>
        </w:sectPr>
      </w:pPr>
    </w:p>
    <w:bookmarkStart w:id="111" w:name="page112"/>
    <w:bookmarkEnd w:id="111"/>
    <w:p>
      <w:pPr>
        <w:ind w:left="1760" w:hanging="276"/>
        <w:spacing w:after="0"/>
        <w:tabs>
          <w:tab w:leader="none" w:pos="17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arising from Permitted Intercompany Activities; and</w:t>
      </w:r>
    </w:p>
    <w:p>
      <w:pPr>
        <w:spacing w:after="0" w:line="215"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5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(if any), interest (including post-petition interest and paid-in-kind interest), fees, expenses, charges and additional or contingent interest on obligations described in clauses (a) through (u) above.</w:t>
      </w:r>
    </w:p>
    <w:p>
      <w:pPr>
        <w:spacing w:after="0" w:line="159" w:lineRule="exact"/>
        <w:rPr>
          <w:sz w:val="20"/>
          <w:szCs w:val="20"/>
          <w:color w:val="auto"/>
        </w:rPr>
      </w:pPr>
    </w:p>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Section 6.01, in the event that an item of Indebtedness meets the criteria of more than one of the categories of Indebtedness described above, the Borrower may, in its sole discretion, classify all or a portion of such item of Indebtedness or any portion thereof in a manner that complies with this Section 6.01 and will only be required to include the amount and type of such Indebtedness in one or more of the above clauses;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Indebtedness outstanding under the Loan Documents and, in each case, any Permitted Refinancing thereof, will at all times be deemed to be outstanding in reliance only on the exception in Section 6.01(a).</w:t>
      </w:r>
    </w:p>
    <w:p>
      <w:pPr>
        <w:spacing w:after="0" w:line="292" w:lineRule="exact"/>
        <w:rPr>
          <w:sz w:val="20"/>
          <w:szCs w:val="20"/>
          <w:color w:val="auto"/>
        </w:rPr>
      </w:pPr>
    </w:p>
    <w:p>
      <w:pPr>
        <w:jc w:val="both"/>
        <w:ind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The Borrower will not, nor will it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ind w:left="1760" w:hanging="276"/>
        <w:spacing w:after="0"/>
        <w:tabs>
          <w:tab w:leader="none" w:pos="17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left="760" w:firstLine="724"/>
        <w:spacing w:after="0" w:line="249" w:lineRule="auto"/>
        <w:tabs>
          <w:tab w:leader="none" w:pos="176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property or asset of the Borrower or any Restricted Subsidiary existing on the Closing Date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Lien shall not apply to any other property or asset of the Borrower or any Restricted Subsidiary and (B) such Lien shall secure only those obligations that it secures on the date hereof and Permitted Refinancing Indebtedness in respect thereof;</w:t>
      </w:r>
    </w:p>
    <w:p>
      <w:pPr>
        <w:spacing w:after="0" w:line="179" w:lineRule="exact"/>
        <w:rPr>
          <w:rFonts w:ascii="Times New Roman" w:cs="Times New Roman" w:eastAsia="Times New Roman" w:hAnsi="Times New Roman"/>
          <w:sz w:val="20"/>
          <w:szCs w:val="20"/>
          <w:color w:val="auto"/>
        </w:rPr>
      </w:pPr>
    </w:p>
    <w:p>
      <w:pPr>
        <w:jc w:val="both"/>
        <w:ind w:left="760" w:firstLine="724"/>
        <w:spacing w:after="0" w:line="246" w:lineRule="auto"/>
        <w:tabs>
          <w:tab w:leader="none" w:pos="175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fixed or capital assets acquired, constructed or improved (including any such assets made the subject of a Capital Lease Obligation incurred) by the Borrower or any Restricted Subsidiary incurred in reliance on </w:t>
      </w:r>
      <w:r>
        <w:rPr>
          <w:rFonts w:ascii="Times New Roman" w:cs="Times New Roman" w:eastAsia="Times New Roman" w:hAnsi="Times New Roman"/>
          <w:sz w:val="20"/>
          <w:szCs w:val="20"/>
          <w:u w:val="single" w:color="auto"/>
          <w:color w:val="auto"/>
        </w:rPr>
        <w:t>Section 6.01(d)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the Indebtedness secured thereby does not exceed the cost of acquiring, constructing or improving such fixed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capital asset and (B) such Liens shall not apply to any other property or assets of the Borrower or any Restricted Subsidiary other than proceeds of such property or assets;</w:t>
      </w:r>
    </w:p>
    <w:p>
      <w:pPr>
        <w:spacing w:after="0" w:line="184" w:lineRule="exact"/>
        <w:rPr>
          <w:rFonts w:ascii="Times New Roman" w:cs="Times New Roman" w:eastAsia="Times New Roman" w:hAnsi="Times New Roman"/>
          <w:sz w:val="20"/>
          <w:szCs w:val="20"/>
          <w:color w:val="auto"/>
        </w:rPr>
      </w:pPr>
    </w:p>
    <w:p>
      <w:pPr>
        <w:ind w:left="760" w:firstLine="724"/>
        <w:spacing w:after="0" w:line="269" w:lineRule="auto"/>
        <w:tabs>
          <w:tab w:leader="none" w:pos="1813"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of the Uniform Commercial Code in effect in the relevant jurisdiction covering only the items being collected upon;</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licensor, lessor or sublicensor or sublessor under any lease or license permitted by this Agreement;</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4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Restricted Subsidiary in favor of the Borrower or another Restricted Subsidiary in respect of Indebtedness or other obligations owed by such Restricted Subsidiary to the Borrower or such other Restricted Subsidiary;</w:t>
      </w:r>
    </w:p>
    <w:p>
      <w:pPr>
        <w:spacing w:after="0" w:line="159"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87"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to the extent that the aggregate outstanding principal amount of the obligations secured thereby does not exceed the greater of (i) $10,000,000 at any time outstanding; and (ii) 4.0% of LTM Consolidated EBITDA (at the time of determination);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ectPr>
          <w:pgSz w:w="11900" w:h="16838" w:orient="portrait"/>
          <w:cols w:equalWidth="0" w:num="1">
            <w:col w:w="11020"/>
          </w:cols>
          <w:pgMar w:left="440" w:top="265" w:right="439" w:bottom="1440" w:gutter="0" w:footer="0" w:header="0"/>
        </w:sectPr>
      </w:pPr>
    </w:p>
    <w:bookmarkStart w:id="112" w:name="page113"/>
    <w:bookmarkEnd w:id="112"/>
    <w:p>
      <w:pPr>
        <w:ind w:left="-7" w:firstLine="724"/>
        <w:spacing w:after="0" w:line="269" w:lineRule="auto"/>
        <w:tabs>
          <w:tab w:leader="none" w:pos="99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insurance policies and the proceeds thereof securing Indebtedness consisting of the financing of insurance premiums in the ordinary course of business;</w:t>
      </w:r>
    </w:p>
    <w:p>
      <w:pPr>
        <w:spacing w:after="0" w:line="159" w:lineRule="exact"/>
        <w:rPr>
          <w:rFonts w:ascii="Times New Roman" w:cs="Times New Roman" w:eastAsia="Times New Roman" w:hAnsi="Times New Roman"/>
          <w:sz w:val="20"/>
          <w:szCs w:val="20"/>
          <w:color w:val="auto"/>
        </w:rPr>
      </w:pPr>
    </w:p>
    <w:p>
      <w:pPr>
        <w:ind w:left="-7" w:firstLine="724"/>
        <w:spacing w:after="0" w:line="269" w:lineRule="auto"/>
        <w:tabs>
          <w:tab w:leader="none" w:pos="949"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Restricted Subsidiary to secure obligations that do not constitute Indebtedness and are incurred in connection with the exchange and clearing operations of such Restricted Subsidiary in the ordinary course of business;</w:t>
      </w:r>
    </w:p>
    <w:p>
      <w:pPr>
        <w:spacing w:after="0" w:line="159"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957"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earnest money deposits made by the Borrower or any Restricted Subsidiary in connection with any letter of intent or purchase agreement in respect of any acquisition or other Investment;</w:t>
      </w:r>
    </w:p>
    <w:p>
      <w:pPr>
        <w:spacing w:after="0" w:line="159"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994"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in respect of non-speculative Swap Contracts relating to the business or operations of the Borrower or its Restricted Subsidiaries;</w:t>
      </w:r>
    </w:p>
    <w:p>
      <w:pPr>
        <w:spacing w:after="0" w:line="159" w:lineRule="exact"/>
        <w:rPr>
          <w:rFonts w:ascii="Times New Roman" w:cs="Times New Roman" w:eastAsia="Times New Roman" w:hAnsi="Times New Roman"/>
          <w:sz w:val="20"/>
          <w:szCs w:val="20"/>
          <w:color w:val="auto"/>
        </w:rPr>
      </w:pPr>
    </w:p>
    <w:p>
      <w:pPr>
        <w:jc w:val="both"/>
        <w:ind w:left="-7" w:right="20" w:firstLine="724"/>
        <w:spacing w:after="0" w:line="245" w:lineRule="auto"/>
        <w:tabs>
          <w:tab w:leader="none" w:pos="968"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in connection with the operations of the Borrower or any Restricted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Restricted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spacing w:after="0" w:line="184" w:lineRule="exact"/>
        <w:rPr>
          <w:rFonts w:ascii="Times New Roman" w:cs="Times New Roman" w:eastAsia="Times New Roman" w:hAnsi="Times New Roman"/>
          <w:sz w:val="20"/>
          <w:szCs w:val="20"/>
          <w:color w:val="auto"/>
        </w:rPr>
      </w:pPr>
    </w:p>
    <w:p>
      <w:pPr>
        <w:ind w:left="1053" w:hanging="336"/>
        <w:spacing w:after="0"/>
        <w:tabs>
          <w:tab w:leader="none" w:pos="1053" w:val="left"/>
        </w:tabs>
        <w:numPr>
          <w:ilvl w:val="1"/>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sale of accounts receivable for which fair equivalent value is received;</w:t>
      </w:r>
    </w:p>
    <w:p>
      <w:pPr>
        <w:spacing w:after="0" w:line="215" w:lineRule="exact"/>
        <w:rPr>
          <w:rFonts w:ascii="Times New Roman" w:cs="Times New Roman" w:eastAsia="Times New Roman" w:hAnsi="Times New Roman"/>
          <w:sz w:val="20"/>
          <w:szCs w:val="20"/>
          <w:color w:val="auto"/>
        </w:rPr>
      </w:pPr>
    </w:p>
    <w:p>
      <w:pPr>
        <w:jc w:val="both"/>
        <w:ind w:left="-7" w:right="20" w:firstLine="724"/>
        <w:spacing w:after="0" w:line="264" w:lineRule="auto"/>
        <w:tabs>
          <w:tab w:leader="none" w:pos="1013" w:val="left"/>
        </w:tabs>
        <w:numPr>
          <w:ilvl w:val="1"/>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securing obligations of the Borrower or any Restricted Subsidiary of the Borrower in respect of any swap agreements or other hedging arrangements entered into (i) in the ordinary course of business and for non-speculative purposes or</w:t>
      </w:r>
    </w:p>
    <w:p>
      <w:pPr>
        <w:ind w:left="293" w:hanging="293"/>
        <w:spacing w:after="0"/>
        <w:tabs>
          <w:tab w:leader="none" w:pos="29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solely in order to serve clearing, depository, regulated exchange or settlement activities in respect thereof;</w:t>
      </w:r>
    </w:p>
    <w:p>
      <w:pPr>
        <w:spacing w:after="0" w:line="193"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1000"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in connection with any share repurchase program in favor of any broker, dealer, custodian, trustee or agent administering or effecting transactions pursuant to a share repurchase program;</w:t>
      </w:r>
    </w:p>
    <w:p>
      <w:pPr>
        <w:spacing w:after="0" w:line="155" w:lineRule="exact"/>
        <w:rPr>
          <w:rFonts w:ascii="Times New Roman" w:cs="Times New Roman" w:eastAsia="Times New Roman" w:hAnsi="Times New Roman"/>
          <w:sz w:val="20"/>
          <w:szCs w:val="20"/>
          <w:color w:val="auto"/>
        </w:rPr>
      </w:pPr>
    </w:p>
    <w:p>
      <w:pPr>
        <w:jc w:val="both"/>
        <w:ind w:left="-7" w:firstLine="724"/>
        <w:spacing w:after="0" w:line="256" w:lineRule="auto"/>
        <w:tabs>
          <w:tab w:leader="none" w:pos="1021"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incurred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Liens pursuant to clause (a) shall be under the Collateral Documents and (ii) Liens pursuant to clause (t) shall be limited to all or a part of the Collateral;</w:t>
      </w:r>
    </w:p>
    <w:p>
      <w:pPr>
        <w:spacing w:after="0" w:line="172" w:lineRule="exact"/>
        <w:rPr>
          <w:rFonts w:ascii="Times New Roman" w:cs="Times New Roman" w:eastAsia="Times New Roman" w:hAnsi="Times New Roman"/>
          <w:sz w:val="20"/>
          <w:szCs w:val="20"/>
          <w:color w:val="auto"/>
        </w:rPr>
      </w:pPr>
    </w:p>
    <w:p>
      <w:pPr>
        <w:ind w:left="-7" w:firstLine="724"/>
        <w:spacing w:after="0" w:line="269" w:lineRule="auto"/>
        <w:tabs>
          <w:tab w:leader="none" w:pos="1031"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in respect of real property on which facilities owned or leased by the Borrower or any of the Restricted Subsidiaries are located;</w:t>
      </w:r>
    </w:p>
    <w:p>
      <w:pPr>
        <w:spacing w:after="0" w:line="159"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976"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(including put and call arrangements) with respect to Equity Interests of any joint venture or similar arrangement pursuant to any joint venture or similar agreement;</w:t>
      </w:r>
    </w:p>
    <w:p>
      <w:pPr>
        <w:spacing w:after="0" w:line="159" w:lineRule="exact"/>
        <w:rPr>
          <w:rFonts w:ascii="Times New Roman" w:cs="Times New Roman" w:eastAsia="Times New Roman" w:hAnsi="Times New Roman"/>
          <w:sz w:val="20"/>
          <w:szCs w:val="20"/>
          <w:color w:val="auto"/>
        </w:rPr>
      </w:pPr>
    </w:p>
    <w:p>
      <w:pPr>
        <w:ind w:left="-7" w:firstLine="724"/>
        <w:spacing w:after="0" w:line="269" w:lineRule="auto"/>
        <w:tabs>
          <w:tab w:leader="none" w:pos="1012"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of an Unrestricted Subsidiary that secure Indebtedness or other obligations of such Unrestricted Subsidiary;</w:t>
      </w:r>
    </w:p>
    <w:p>
      <w:pPr>
        <w:spacing w:after="0" w:line="92"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4"/>
          <w:szCs w:val="14"/>
          <w:color w:val="auto"/>
        </w:rPr>
        <w:t>-100-</w:t>
      </w:r>
    </w:p>
    <w:p>
      <w:pPr>
        <w:sectPr>
          <w:pgSz w:w="11900" w:h="16838" w:orient="portrait"/>
          <w:cols w:equalWidth="0" w:num="1">
            <w:col w:w="10253"/>
          </w:cols>
          <w:pgMar w:left="1207" w:top="265" w:right="439" w:bottom="1440" w:gutter="0" w:footer="0" w:header="0"/>
        </w:sectPr>
      </w:pPr>
    </w:p>
    <w:bookmarkStart w:id="113" w:name="page114"/>
    <w:bookmarkEnd w:id="113"/>
    <w:p>
      <w:pPr>
        <w:ind w:left="760" w:right="20" w:firstLine="724"/>
        <w:spacing w:after="0" w:line="269" w:lineRule="auto"/>
        <w:tabs>
          <w:tab w:leader="none" w:pos="1733"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 given to a public utility or any municipality or Governmental Authority when required by such utility or authority in connection with the operations of that Person in the ordinary course of business or consistent with past practice;</w:t>
      </w:r>
    </w:p>
    <w:p>
      <w:pPr>
        <w:spacing w:after="0" w:line="159" w:lineRule="exact"/>
        <w:rPr>
          <w:rFonts w:ascii="Times New Roman" w:cs="Times New Roman" w:eastAsia="Times New Roman" w:hAnsi="Times New Roman"/>
          <w:sz w:val="20"/>
          <w:szCs w:val="20"/>
          <w:color w:val="auto"/>
        </w:rPr>
      </w:pPr>
    </w:p>
    <w:p>
      <w:pPr>
        <w:jc w:val="both"/>
        <w:ind w:left="760" w:right="20" w:firstLine="724"/>
        <w:spacing w:after="0" w:line="266" w:lineRule="auto"/>
        <w:tabs>
          <w:tab w:leader="none" w:pos="1787"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any funds or securities held in escrow accounts established for the purpose of holding proceeds from issuances of debt securities by the Borrower or any of the Restricted Subsidiaries issued after the Closing Date, together with any additional funds required in order to fund any mandatory redemption or sinking fund payment on such debt securities within 360 days of their issuance;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Liens do not extend to any assets other than such proceeds and such additional funds;</w:t>
      </w:r>
    </w:p>
    <w:p>
      <w:pPr>
        <w:spacing w:after="0" w:line="165" w:lineRule="exact"/>
        <w:rPr>
          <w:rFonts w:ascii="Times New Roman" w:cs="Times New Roman" w:eastAsia="Times New Roman" w:hAnsi="Times New Roman"/>
          <w:sz w:val="19"/>
          <w:szCs w:val="19"/>
          <w:color w:val="auto"/>
        </w:rPr>
      </w:pPr>
    </w:p>
    <w:p>
      <w:pPr>
        <w:ind w:left="760" w:right="20" w:firstLine="724"/>
        <w:spacing w:after="0" w:line="269" w:lineRule="auto"/>
        <w:tabs>
          <w:tab w:leader="none" w:pos="1782"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Cash Equivalents and securities (and proceeds thereof) of any Subsidiary that is a Broker-Dealer Subsidiary, state chartered trust company or national trust company that are the subject to securities trades;</w:t>
      </w:r>
    </w:p>
    <w:p>
      <w:pPr>
        <w:spacing w:after="0" w:line="159" w:lineRule="exact"/>
        <w:rPr>
          <w:rFonts w:ascii="Times New Roman" w:cs="Times New Roman" w:eastAsia="Times New Roman" w:hAnsi="Times New Roman"/>
          <w:sz w:val="20"/>
          <w:szCs w:val="20"/>
          <w:color w:val="auto"/>
        </w:rPr>
      </w:pPr>
    </w:p>
    <w:p>
      <w:pPr>
        <w:ind w:left="1800" w:hanging="316"/>
        <w:spacing w:after="0"/>
        <w:tabs>
          <w:tab w:leader="none" w:pos="180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65"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any Subsidiary that is a Broker-Dealer Subsidiary, state chartered trust company or national trust company securing broker-dealer financing incurred in the ordinary course of business or consistent with past practice; and</w:t>
      </w:r>
    </w:p>
    <w:p>
      <w:pPr>
        <w:spacing w:after="0" w:line="155" w:lineRule="exact"/>
        <w:rPr>
          <w:rFonts w:ascii="Times New Roman" w:cs="Times New Roman" w:eastAsia="Times New Roman" w:hAnsi="Times New Roman"/>
          <w:sz w:val="20"/>
          <w:szCs w:val="20"/>
          <w:color w:val="auto"/>
        </w:rPr>
      </w:pPr>
    </w:p>
    <w:p>
      <w:pPr>
        <w:ind w:left="1780" w:hanging="296"/>
        <w:spacing w:after="0"/>
        <w:tabs>
          <w:tab w:leader="none" w:pos="1780"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modification, replacement, renewal or extension of any Lien permitted under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5" w:lineRule="exact"/>
        <w:rPr>
          <w:rFonts w:ascii="Times New Roman" w:cs="Times New Roman" w:eastAsia="Times New Roman" w:hAnsi="Times New Roman"/>
          <w:sz w:val="20"/>
          <w:szCs w:val="20"/>
          <w:color w:val="auto"/>
        </w:rPr>
      </w:pPr>
    </w:p>
    <w:p>
      <w:pPr>
        <w:jc w:val="both"/>
        <w:ind w:left="760" w:right="20" w:firstLine="7"/>
        <w:spacing w:after="0" w:line="241" w:lineRule="auto"/>
        <w:tabs>
          <w:tab w:leader="none" w:pos="1002"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constitutes Permitted Refinancing Indebtedness (to the extent constituting Indebtedness).</w:t>
      </w:r>
    </w:p>
    <w:p>
      <w:pPr>
        <w:spacing w:after="0" w:line="18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purposes of determining compliance with this Section 6.02, (A) Liens need not be incurred solely by reference to one category of Liens permitted by this Section 6.02 but are permitted to be incurred in part under any combination thereof and of any other available exemption, and (B) in the event that Lien (or any portion thereof) meets the criteria of one or more of the categories of Liens permitted by this Section 6.02, the Borrower may, in its sole discretion, classify such Lien (or any portion thereof) in any manner that complies with this provision. Any Liens in respect of the accrual of interest, the accretion of accreted value and the payment of interest in the form of additional Indebtedness, in each case in respect of any Indebtedness, shall not be deemed to be an incurrence of a Lien in respect of such Indebtedness for purposes of this Section 6.02.</w:t>
      </w:r>
    </w:p>
    <w:p>
      <w:pPr>
        <w:spacing w:after="0" w:line="18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67"/>
        <w:spacing w:after="0" w:line="254" w:lineRule="auto"/>
        <w:tabs>
          <w:tab w:leader="none" w:pos="1079"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merge into or consolidate with any other Person, or permit any other Person to merge into or consolidate with it, or liquidate or dissolve, except that any Person may merge, consolidate, liquidate or dissolve into the Borrower in a transaction in which the Borrower is the surviving corporation.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1">
            <w:col w:w="11020"/>
          </w:cols>
          <w:pgMar w:left="440" w:top="265" w:right="439" w:bottom="1440" w:gutter="0" w:footer="0" w:header="0"/>
        </w:sectPr>
      </w:pPr>
    </w:p>
    <w:bookmarkStart w:id="114" w:name="page115"/>
    <w:bookmarkEnd w:id="114"/>
    <w:p>
      <w:pPr>
        <w:ind w:right="20" w:firstLine="767"/>
        <w:spacing w:after="0" w:line="269" w:lineRule="auto"/>
        <w:tabs>
          <w:tab w:leader="none" w:pos="110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will not, nor will it permit any Restricted Subsidiary to, sell, transfer or otherwise dispose of all or substantially all of the assets of the Borrower and its Restricted Subsidiaries (taken as a whole).</w:t>
      </w:r>
    </w:p>
    <w:p>
      <w:pPr>
        <w:spacing w:after="0" w:line="159" w:lineRule="exact"/>
        <w:rPr>
          <w:rFonts w:ascii="Times New Roman" w:cs="Times New Roman" w:eastAsia="Times New Roman" w:hAnsi="Times New Roman"/>
          <w:sz w:val="20"/>
          <w:szCs w:val="20"/>
          <w:color w:val="auto"/>
        </w:rPr>
      </w:pPr>
    </w:p>
    <w:p>
      <w:pPr>
        <w:ind w:firstLine="767"/>
        <w:spacing w:after="0" w:line="269" w:lineRule="auto"/>
        <w:tabs>
          <w:tab w:leader="none" w:pos="1092"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nor will it permit any Restricted Subsidiary to, sell, transfer or otherwise dispose of all or substantially all of the assets of any Specified Subsidiary;</w:t>
      </w:r>
    </w:p>
    <w:p>
      <w:pPr>
        <w:spacing w:after="0" w:line="159" w:lineRule="exact"/>
        <w:rPr>
          <w:rFonts w:ascii="Times New Roman" w:cs="Times New Roman" w:eastAsia="Times New Roman" w:hAnsi="Times New Roman"/>
          <w:sz w:val="20"/>
          <w:szCs w:val="20"/>
          <w:color w:val="auto"/>
        </w:rPr>
      </w:pPr>
    </w:p>
    <w:p>
      <w:pPr>
        <w:ind w:right="20" w:firstLine="767"/>
        <w:spacing w:after="0" w:line="269" w:lineRule="auto"/>
        <w:tabs>
          <w:tab w:leader="none" w:pos="105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cease to own, directly or indirectly, through one or more Restricted Subsidiaries at least 80.0% of the Equity Interests of each Specified Subsidiary.</w:t>
      </w:r>
    </w:p>
    <w:p>
      <w:pPr>
        <w:spacing w:after="0" w:line="159" w:lineRule="exact"/>
        <w:rPr>
          <w:sz w:val="20"/>
          <w:szCs w:val="20"/>
          <w:color w:val="auto"/>
        </w:rPr>
      </w:pPr>
    </w:p>
    <w:p>
      <w:pPr>
        <w:ind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The Borrower will not, nor will it permit any Restricted Subsidiary to, make, directly or indirectly, any Investment, except:</w:t>
      </w:r>
    </w:p>
    <w:p>
      <w:pPr>
        <w:spacing w:after="0" w:line="159" w:lineRule="exact"/>
        <w:rPr>
          <w:sz w:val="20"/>
          <w:szCs w:val="20"/>
          <w:color w:val="auto"/>
        </w:rPr>
      </w:pPr>
    </w:p>
    <w:p>
      <w:pPr>
        <w:ind w:left="760" w:right="20" w:firstLine="724"/>
        <w:spacing w:after="0" w:line="269" w:lineRule="auto"/>
        <w:tabs>
          <w:tab w:leader="none" w:pos="175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Borrower or any of the Restricted Subsidiaries in assets that were Cash Equivalents or Permitted Investments when such Investment was made;</w:t>
      </w:r>
    </w:p>
    <w:p>
      <w:pPr>
        <w:spacing w:after="0" w:line="159"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80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or advances to future, present or former officers, directors, managers, members, partners, independent contractors, consultants and employees of any Subsidiary (or any direct or indirect parent thereof) for reasonable and customary business-related travel, entertainment, relocation and analogous ordinary business purposes;</w:t>
      </w:r>
    </w:p>
    <w:p>
      <w:pPr>
        <w:spacing w:after="0" w:line="174" w:lineRule="exact"/>
        <w:rPr>
          <w:rFonts w:ascii="Times New Roman" w:cs="Times New Roman" w:eastAsia="Times New Roman" w:hAnsi="Times New Roman"/>
          <w:sz w:val="20"/>
          <w:szCs w:val="20"/>
          <w:color w:val="auto"/>
        </w:rPr>
      </w:pPr>
    </w:p>
    <w:p>
      <w:pPr>
        <w:jc w:val="both"/>
        <w:ind w:left="760" w:firstLine="724"/>
        <w:spacing w:after="0" w:line="249" w:lineRule="auto"/>
        <w:tabs>
          <w:tab w:leader="none" w:pos="179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by the Borrower or any of the Restricted Subsidiaries in the Borrower or any of the Restricted Subsidiaries or any newly created Person that will, upon Investment become a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Investment made by any Person that is not a Loan Party in any Loan Party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in the form of a loan shall be subordinated in right of payment to the Loans</w:t>
      </w:r>
    </w:p>
    <w:p>
      <w:pPr>
        <w:spacing w:after="0" w:line="179" w:lineRule="exact"/>
        <w:rPr>
          <w:rFonts w:ascii="Times New Roman" w:cs="Times New Roman" w:eastAsia="Times New Roman" w:hAnsi="Times New Roman"/>
          <w:sz w:val="20"/>
          <w:szCs w:val="20"/>
          <w:color w:val="auto"/>
        </w:rPr>
      </w:pPr>
    </w:p>
    <w:p>
      <w:pPr>
        <w:jc w:val="both"/>
        <w:ind w:left="760" w:firstLine="724"/>
        <w:spacing w:after="0" w:line="249" w:lineRule="auto"/>
        <w:tabs>
          <w:tab w:leader="none" w:pos="1769"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 or consistent with past practice;</w:t>
      </w:r>
    </w:p>
    <w:p>
      <w:pPr>
        <w:spacing w:after="0" w:line="17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1"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transactions permitted under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6.01(b)(ii))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w:t>
      </w:r>
      <w:r>
        <w:rPr>
          <w:rFonts w:ascii="Times New Roman" w:cs="Times New Roman" w:eastAsia="Times New Roman" w:hAnsi="Times New Roman"/>
          <w:sz w:val="20"/>
          <w:szCs w:val="20"/>
          <w:color w:val="auto"/>
        </w:rPr>
        <w:t xml:space="preserve"> (other than Section 6.02(w)),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6.05(d)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5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or contemplated on the Closing Date and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and any modification, replacement, renewal, reinvestment or extension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the original Investment is not increased except by the terms of such Investment as of the Closing Date or as otherwise permitted by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Swap Contracts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UCC Article 3 endorsements for collection or deposit and UCC Article 4 customary trade arrangements with customers consistent with past practices;</w:t>
      </w:r>
    </w:p>
    <w:p>
      <w:pPr>
        <w:spacing w:after="0" w:line="159" w:lineRule="exact"/>
        <w:rPr>
          <w:rFonts w:ascii="Times New Roman" w:cs="Times New Roman" w:eastAsia="Times New Roman" w:hAnsi="Times New Roman"/>
          <w:sz w:val="20"/>
          <w:szCs w:val="20"/>
          <w:color w:val="auto"/>
        </w:rPr>
      </w:pPr>
    </w:p>
    <w:p>
      <w:pPr>
        <w:ind w:left="760" w:firstLine="724"/>
        <w:spacing w:after="0" w:line="269" w:lineRule="auto"/>
        <w:tabs>
          <w:tab w:leader="none" w:pos="176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received in connection with the bankruptcy or reorganization of suppliers and customers or in settlement 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ectPr>
          <w:pgSz w:w="11900" w:h="16838" w:orient="portrait"/>
          <w:cols w:equalWidth="0" w:num="1">
            <w:col w:w="11020"/>
          </w:cols>
          <w:pgMar w:left="440" w:top="265" w:right="439" w:bottom="1440" w:gutter="0" w:footer="0" w:header="0"/>
        </w:sectPr>
      </w:pPr>
    </w:p>
    <w:bookmarkStart w:id="115" w:name="page116"/>
    <w:bookmarkEnd w:id="115"/>
    <w:p>
      <w:pPr>
        <w:jc w:val="both"/>
        <w:ind w:left="760"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delinquent obligations of, or other disputes with, customers and suppliers arising in the ordinary course of business or consistent with past practice or upon the foreclosure with respect to any secured Investment or other transfer of title with respect to any secured Investment;</w:t>
      </w:r>
    </w:p>
    <w:p>
      <w:pPr>
        <w:spacing w:after="0" w:line="174" w:lineRule="exact"/>
        <w:rPr>
          <w:sz w:val="20"/>
          <w:szCs w:val="20"/>
          <w:color w:val="auto"/>
        </w:rPr>
      </w:pPr>
    </w:p>
    <w:p>
      <w:pPr>
        <w:ind w:left="1720" w:hanging="236"/>
        <w:spacing w:after="0"/>
        <w:tabs>
          <w:tab w:leader="none" w:pos="172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 or consistent with past practice;</w:t>
      </w:r>
    </w:p>
    <w:p>
      <w:pPr>
        <w:spacing w:after="0" w:line="215"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9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solely with Equity Interests (other than Disqualified Equity Interests) of the Borrower (or any direct or indirect parent, including Public Company Parent);</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2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contribution, assignment, licensing, sub-licensing or other Investment of IP Rights or other general intangibles pursuant to any Intercompany License Agreement and any other Investments made in connection therewith;</w:t>
      </w:r>
    </w:p>
    <w:p>
      <w:pPr>
        <w:spacing w:after="0" w:line="15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84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promissory notes or the non-cash portion of consideration, in each case, received in a permitted sale, transfer or other disposition;</w:t>
      </w:r>
    </w:p>
    <w:p>
      <w:pPr>
        <w:spacing w:after="0" w:line="159" w:lineRule="exact"/>
        <w:rPr>
          <w:rFonts w:ascii="Times New Roman" w:cs="Times New Roman" w:eastAsia="Times New Roman" w:hAnsi="Times New Roman"/>
          <w:sz w:val="20"/>
          <w:szCs w:val="20"/>
          <w:color w:val="auto"/>
        </w:rPr>
      </w:pPr>
    </w:p>
    <w:p>
      <w:pPr>
        <w:jc w:val="both"/>
        <w:ind w:left="760" w:firstLine="724"/>
        <w:spacing w:after="0" w:line="254" w:lineRule="auto"/>
        <w:tabs>
          <w:tab w:leader="none" w:pos="178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Borrower or any of its Restricted Subsidiaries of leases (other than capital leases) or of other obligations of the Borrower or any of its Restricted Subsidiaries that do not constitute Indebtedness, in each case entered into in the ordinary course of business or consistent with past practice;</w:t>
      </w:r>
    </w:p>
    <w:p>
      <w:pPr>
        <w:spacing w:after="0" w:line="174" w:lineRule="exact"/>
        <w:rPr>
          <w:rFonts w:ascii="Times New Roman" w:cs="Times New Roman" w:eastAsia="Times New Roman" w:hAnsi="Times New Roman"/>
          <w:sz w:val="20"/>
          <w:szCs w:val="20"/>
          <w:color w:val="auto"/>
        </w:rPr>
      </w:pPr>
    </w:p>
    <w:p>
      <w:pPr>
        <w:jc w:val="both"/>
        <w:ind w:left="760" w:right="20" w:firstLine="724"/>
        <w:spacing w:after="0" w:line="245" w:lineRule="auto"/>
        <w:tabs>
          <w:tab w:leader="none" w:pos="1767"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that are made with the net proceeds of (i) substantially concurrent contributions to the common equity capital of the Borrower or any Restricted Subsidiary (other than any Designated Equity Contribution) and (ii) the substantially concurrent sale (other than to the Borrower or a Subsidiary or to any management equity plan or stock option plan or any other management or employee benefit plan or agreement) of Equity Interests (other than Disqualified Equity Interests, preferred stock and Designated Equity Contributions) of the Borrower (or any direct or indirect parent, including Public Company Parent, to the extent contributed as common Equity Interests by the Borrower);</w:t>
      </w:r>
    </w:p>
    <w:p>
      <w:pPr>
        <w:spacing w:after="0" w:line="184"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earnest money deposits required in connection with acquisitions (or similar Investments);</w:t>
      </w:r>
    </w:p>
    <w:p>
      <w:pPr>
        <w:spacing w:after="0" w:line="215"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1"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required by applicable rules under the Exchange Act or by any Governmental Authority, including any Investment made in order to avoid any early warning or notice requirements under such rules or requirements;</w:t>
      </w:r>
    </w:p>
    <w:p>
      <w:pPr>
        <w:spacing w:after="0" w:line="159"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46"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or by any Subsidiary that is a Broker-Dealer Subsidiary, state chartered trust company or national trust company in connection with their “broker-dealer” business, including, without limitation, short-term equity positions maintained in its securities clearing business and margin loans to clients; and</w:t>
      </w:r>
    </w:p>
    <w:p>
      <w:pPr>
        <w:spacing w:after="0" w:line="170" w:lineRule="exact"/>
        <w:rPr>
          <w:rFonts w:ascii="Times New Roman" w:cs="Times New Roman" w:eastAsia="Times New Roman" w:hAnsi="Times New Roman"/>
          <w:sz w:val="20"/>
          <w:szCs w:val="20"/>
          <w:color w:val="auto"/>
        </w:rPr>
      </w:pPr>
    </w:p>
    <w:p>
      <w:pPr>
        <w:jc w:val="both"/>
        <w:ind w:left="760" w:firstLine="724"/>
        <w:spacing w:after="0" w:line="256" w:lineRule="auto"/>
        <w:tabs>
          <w:tab w:leader="none" w:pos="1735"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an unlimited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immediately after giving effect thereto, the Borrower would be in compliance on a Pro Forma Basis with the Financial Covenants and (II) no Default or Event of Default shall have occurred and be continuing.</w:t>
      </w:r>
    </w:p>
    <w:p>
      <w:pPr>
        <w:spacing w:after="0" w:line="17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For purposes of determining compliance with this Section 6.04, in the event that an item of Investment meets the criteria of more than one of the categories of Investments described above, the Borrower may,</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ectPr>
          <w:pgSz w:w="11900" w:h="16838" w:orient="portrait"/>
          <w:cols w:equalWidth="0" w:num="1">
            <w:col w:w="11020"/>
          </w:cols>
          <w:pgMar w:left="440" w:top="265" w:right="439" w:bottom="1440" w:gutter="0" w:footer="0" w:header="0"/>
        </w:sectPr>
      </w:pPr>
    </w:p>
    <w:bookmarkStart w:id="116" w:name="page117"/>
    <w:bookmarkEnd w:id="116"/>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its sole discretion, classify all or a portion of such item of Investment or any portion thereof in a manner that complies with this Section 6.04 and will only be required to include the amount and type of such Investment in one or more of the above clauses.</w:t>
      </w:r>
    </w:p>
    <w:p>
      <w:pPr>
        <w:spacing w:after="0" w:line="267" w:lineRule="exact"/>
        <w:rPr>
          <w:sz w:val="20"/>
          <w:szCs w:val="20"/>
          <w:color w:val="auto"/>
        </w:rPr>
      </w:pPr>
    </w:p>
    <w:p>
      <w:pPr>
        <w:ind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The Borrower will not, nor will it permit any Restricted Subsidiary to, make, directly or indirectly, any Restricted Payment, except:</w:t>
      </w:r>
    </w:p>
    <w:p>
      <w:pPr>
        <w:spacing w:after="0" w:line="159" w:lineRule="exact"/>
        <w:rPr>
          <w:sz w:val="20"/>
          <w:szCs w:val="20"/>
          <w:color w:val="auto"/>
        </w:rPr>
      </w:pPr>
    </w:p>
    <w:p>
      <w:pPr>
        <w:jc w:val="both"/>
        <w:ind w:left="760" w:firstLine="724"/>
        <w:spacing w:after="0" w:line="249" w:lineRule="auto"/>
        <w:tabs>
          <w:tab w:leader="none" w:pos="176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each Restricted Subsidiary may make Restricted Payments to the Borrower and other Restricted Subsidiaries (and, in the case of a Restricted Payment by a non-Wholly-Owned Restricted Subsidiary, to the Borrower and any other Restricted Subsidiary, as compared to the other owners of Equity Interests in such Restricted Subsidiary, on a pro rata or more than pro rata basis based on their relative ownership interests of the relevant class of Equity Interests);</w:t>
      </w:r>
    </w:p>
    <w:p>
      <w:pPr>
        <w:spacing w:after="0" w:line="17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80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declare and make Restricted Payments payable solely in the Equity Interests (other than Disqualified Equity Interests not otherwise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of such Person;</w:t>
      </w:r>
    </w:p>
    <w:p>
      <w:pPr>
        <w:spacing w:after="0" w:line="159" w:lineRule="exact"/>
        <w:rPr>
          <w:rFonts w:ascii="Times New Roman" w:cs="Times New Roman" w:eastAsia="Times New Roman" w:hAnsi="Times New Roman"/>
          <w:sz w:val="20"/>
          <w:szCs w:val="20"/>
          <w:color w:val="auto"/>
        </w:rPr>
      </w:pPr>
    </w:p>
    <w:p>
      <w:pPr>
        <w:ind w:left="1780" w:hanging="296"/>
        <w:spacing w:after="0"/>
        <w:tabs>
          <w:tab w:leader="none" w:pos="178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pro rata cash distributions to any direct or indirect equity holder of the Borrower until</w:t>
      </w:r>
    </w:p>
    <w:p>
      <w:pPr>
        <w:spacing w:after="0" w:line="21" w:lineRule="exact"/>
        <w:rPr>
          <w:rFonts w:ascii="Times New Roman" w:cs="Times New Roman" w:eastAsia="Times New Roman" w:hAnsi="Times New Roman"/>
          <w:sz w:val="20"/>
          <w:szCs w:val="20"/>
          <w:color w:val="auto"/>
        </w:rPr>
      </w:pPr>
    </w:p>
    <w:p>
      <w:pPr>
        <w:jc w:val="both"/>
        <w:ind w:left="760" w:right="20" w:firstLine="7"/>
        <w:spacing w:after="0"/>
        <w:tabs>
          <w:tab w:leader="none" w:pos="101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such equity holder (other than the Public Company Parent) receives an amount equal to (x) highest effective marginal combined U.S. federal, state and local income Tax rate applicable to corporate or individual taxpayers that applies to any equity holder, taking into account the character of the relevant Tax items (e.g., ordinary or capital) and the deductibility of state and local Taxes for U.S. federal income Tax purposes, multiplied by (y) the estimated or actual taxable income of the Borrower, as determined for U.S. federal income Tax purposes, allocated to such equity holder and computed without regard to any adjustments under Section 743 or 754 of the Code and (ii) the Public Company Parent has received an amount sufficient to enable it to timely (x) satisfy all of its U.S. federal, state and local and non-U.S. Tax liabilities and (y) meet its obligations pursuant to the Tax Receivable Agreement;</w:t>
      </w:r>
    </w:p>
    <w:p>
      <w:pPr>
        <w:spacing w:after="0" w:line="190"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8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and the Restricted Subsidiaries may enter into and consummate transactions expressly permitted by any provision of </w:t>
      </w:r>
      <w:r>
        <w:rPr>
          <w:rFonts w:ascii="Times New Roman" w:cs="Times New Roman" w:eastAsia="Times New Roman" w:hAnsi="Times New Roman"/>
          <w:sz w:val="20"/>
          <w:szCs w:val="20"/>
          <w:u w:val="single" w:color="auto"/>
          <w:color w:val="auto"/>
        </w:rPr>
        <w:t>Sections 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6.06(a)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5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repurchases of Equity Interests in the Borrower (or any direct or indirect parent thereof (including Public Company Parent) or any Restricted Subsidiary deemed to occur upon exercise of stock options or warrants to the extent such Equity Interests represent a portion of the exercise price of such options or warrants;</w:t>
      </w:r>
    </w:p>
    <w:p>
      <w:pPr>
        <w:spacing w:after="0" w:line="174"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34" w:val="left"/>
        </w:tabs>
        <w:numPr>
          <w:ilvl w:val="1"/>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make Restricted Payments to any direct or indirect parent (including Public Company Parent) of the Borrower:</w:t>
      </w:r>
    </w:p>
    <w:p>
      <w:pPr>
        <w:spacing w:after="0" w:line="159" w:lineRule="exact"/>
        <w:rPr>
          <w:rFonts w:ascii="Times New Roman" w:cs="Times New Roman" w:eastAsia="Times New Roman" w:hAnsi="Times New Roman"/>
          <w:sz w:val="20"/>
          <w:szCs w:val="20"/>
          <w:color w:val="auto"/>
        </w:rPr>
      </w:pPr>
    </w:p>
    <w:p>
      <w:pPr>
        <w:jc w:val="both"/>
        <w:ind w:left="1540" w:right="20" w:firstLine="661"/>
        <w:spacing w:after="0" w:line="245" w:lineRule="auto"/>
        <w:tabs>
          <w:tab w:leader="none" w:pos="2483" w:val="left"/>
        </w:tabs>
        <w:numPr>
          <w:ilvl w:val="2"/>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pay its organizational, operating costs and other costs and expenses (including, without limitation, expenses related to auditing or other accounting or tax reporting matters) incurred in the ordinary course of business and other corporate overhead costs and expenses (including administrative, legal, accounting and similar expenses provided by third parties), which are reasonable and customary and incurred in the ordinary course of business and attributable to the ownership or operations of the Borrower and the Restricted Subsidiaries, any costs, expenses and liabilities incurred in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ectPr>
          <w:pgSz w:w="11900" w:h="16838" w:orient="portrait"/>
          <w:cols w:equalWidth="0" w:num="1">
            <w:col w:w="11020"/>
          </w:cols>
          <w:pgMar w:left="440" w:top="265" w:right="439" w:bottom="1440" w:gutter="0" w:footer="0" w:header="0"/>
        </w:sectPr>
      </w:pPr>
    </w:p>
    <w:bookmarkStart w:id="117" w:name="page118"/>
    <w:bookmarkEnd w:id="117"/>
    <w:p>
      <w:pPr>
        <w:jc w:val="both"/>
        <w:ind w:left="773"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any litigation or arbitration attributable to the ownership or operations of the Borrower and the Restricted Subsidiaries, Transaction Costs and any reasonable and customary indemnification claims made by directors, managers or officers of such parent attributable to the ownership or operations of the Borrower and the Restricted Subsidiaries and listing fees and other costs and expenses attributable to being a publicly traded company;</w:t>
      </w:r>
    </w:p>
    <w:p>
      <w:pPr>
        <w:spacing w:after="0" w:line="180" w:lineRule="exact"/>
        <w:rPr>
          <w:sz w:val="20"/>
          <w:szCs w:val="20"/>
          <w:color w:val="auto"/>
        </w:rPr>
      </w:pPr>
    </w:p>
    <w:p>
      <w:pPr>
        <w:ind w:left="773" w:right="20" w:firstLine="661"/>
        <w:spacing w:after="0" w:line="269" w:lineRule="auto"/>
        <w:tabs>
          <w:tab w:leader="none" w:pos="1743" w:val="left"/>
        </w:tabs>
        <w:numPr>
          <w:ilvl w:val="2"/>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finance any Investment that would be permitted to be made by the Borrower pursuant to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6.04(e)</w:t>
      </w:r>
      <w:r>
        <w:rPr>
          <w:rFonts w:ascii="Times New Roman" w:cs="Times New Roman" w:eastAsia="Times New Roman" w:hAnsi="Times New Roman"/>
          <w:sz w:val="20"/>
          <w:szCs w:val="20"/>
          <w:color w:val="auto"/>
        </w:rPr>
        <w:t>) to the extent such Investments are promptly contributed to the Borrower;</w:t>
      </w:r>
    </w:p>
    <w:p>
      <w:pPr>
        <w:spacing w:after="0" w:line="159" w:lineRule="exact"/>
        <w:rPr>
          <w:rFonts w:ascii="Times New Roman" w:cs="Times New Roman" w:eastAsia="Times New Roman" w:hAnsi="Times New Roman"/>
          <w:sz w:val="20"/>
          <w:szCs w:val="20"/>
          <w:color w:val="auto"/>
        </w:rPr>
      </w:pPr>
    </w:p>
    <w:p>
      <w:pPr>
        <w:jc w:val="both"/>
        <w:ind w:left="773" w:right="20" w:firstLine="661"/>
        <w:spacing w:after="0" w:line="246" w:lineRule="auto"/>
        <w:tabs>
          <w:tab w:leader="none" w:pos="1789" w:val="left"/>
        </w:tabs>
        <w:numPr>
          <w:ilvl w:val="2"/>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which shall be used to pay customary salary, bonus, indemnity and other benefits payable to future, present or former officers, directors, managers, members, partners, consultants, independent contractors or employees of the Borrower or any direct or indirect parent company of the Borrower to the extent such salaries, bonuses, indemnity and other benefits are attributable to the ownership or operation of the Borrower and the Restricted Subsidiaries; and</w:t>
      </w:r>
    </w:p>
    <w:p>
      <w:pPr>
        <w:spacing w:after="0" w:line="184" w:lineRule="exact"/>
        <w:rPr>
          <w:rFonts w:ascii="Times New Roman" w:cs="Times New Roman" w:eastAsia="Times New Roman" w:hAnsi="Times New Roman"/>
          <w:sz w:val="20"/>
          <w:szCs w:val="20"/>
          <w:color w:val="auto"/>
        </w:rPr>
      </w:pPr>
    </w:p>
    <w:p>
      <w:pPr>
        <w:jc w:val="both"/>
        <w:ind w:left="773" w:right="20" w:firstLine="661"/>
        <w:spacing w:after="0" w:line="266" w:lineRule="auto"/>
        <w:tabs>
          <w:tab w:leader="none" w:pos="1771" w:val="left"/>
        </w:tabs>
        <w:numPr>
          <w:ilvl w:val="2"/>
          <w:numId w:val="1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proceeds of which shall be used to pay fees and expenses (other than to Affiliates) related to any equity or debt offering, financing transaction, acquisition, divestiture, investment or other non-ordinary course transaction not prohibited by this Agreement (whether or not successful);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transaction was in the good faith judgment of the Borrower intended to be for the benefit of the Borrower and its Restricted Subsidiaries;</w:t>
      </w:r>
    </w:p>
    <w:p>
      <w:pPr>
        <w:spacing w:after="0" w:line="165" w:lineRule="exact"/>
        <w:rPr>
          <w:rFonts w:ascii="Times New Roman" w:cs="Times New Roman" w:eastAsia="Times New Roman" w:hAnsi="Times New Roman"/>
          <w:sz w:val="19"/>
          <w:szCs w:val="19"/>
          <w:color w:val="auto"/>
        </w:rPr>
      </w:pPr>
    </w:p>
    <w:p>
      <w:pPr>
        <w:jc w:val="both"/>
        <w:ind w:left="-7" w:firstLine="724"/>
        <w:spacing w:after="0" w:line="245" w:lineRule="auto"/>
        <w:tabs>
          <w:tab w:leader="none" w:pos="996"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or expected to be made by the Borrower or any of the Restricted Subsidiaries in respect of required withholding or similar Taxes payable upon or in connection with the exercise or vesting of Equity Interests or any other equity award with respect to any future, present or former employee, director, manager, officer, partner, independent consultant or consultant (or their respective Controlled Investment Affiliates and Immediate Family Members) and any repurchases or withholdings of Equity Interests in consideration of such payments including in connection with the exercise or vesting of stock options, warrants or the issuance of restricted stock units or similar stock based awards;</w:t>
      </w:r>
    </w:p>
    <w:p>
      <w:pPr>
        <w:spacing w:after="0" w:line="184" w:lineRule="exact"/>
        <w:rPr>
          <w:rFonts w:ascii="Times New Roman" w:cs="Times New Roman" w:eastAsia="Times New Roman" w:hAnsi="Times New Roman"/>
          <w:sz w:val="20"/>
          <w:szCs w:val="20"/>
          <w:color w:val="auto"/>
        </w:rPr>
      </w:pPr>
    </w:p>
    <w:p>
      <w:pPr>
        <w:jc w:val="both"/>
        <w:ind w:left="-7" w:firstLine="724"/>
        <w:spacing w:after="0" w:line="246" w:lineRule="auto"/>
        <w:tabs>
          <w:tab w:leader="none" w:pos="998"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Restricted Subsidiary may (i) pay cash in lieu of fractional Equity Interests in connection with any dividend, distribution, split, merger, consolidation, amalgamation or combination thereof or any Permitted Acquisition or Investment and (ii) honor any conversion request by a holder of convertible Indebtedness and make cash payments in lieu of fractional shares in connection with any such conversion and may make payments on convertible Indebtedness in accordance with its terms;</w:t>
      </w:r>
    </w:p>
    <w:p>
      <w:pPr>
        <w:spacing w:after="0" w:line="180" w:lineRule="exact"/>
        <w:rPr>
          <w:rFonts w:ascii="Times New Roman" w:cs="Times New Roman" w:eastAsia="Times New Roman" w:hAnsi="Times New Roman"/>
          <w:sz w:val="20"/>
          <w:szCs w:val="20"/>
          <w:color w:val="auto"/>
        </w:rPr>
      </w:pPr>
    </w:p>
    <w:p>
      <w:pPr>
        <w:ind w:left="973" w:hanging="256"/>
        <w:spacing w:after="0"/>
        <w:tabs>
          <w:tab w:leader="none" w:pos="97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its Restricted Subsidiaries may make Restricted Payments in an unlimited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w:t>
      </w:r>
    </w:p>
    <w:p>
      <w:pPr>
        <w:spacing w:after="0" w:line="25" w:lineRule="exact"/>
        <w:rPr>
          <w:rFonts w:ascii="Times New Roman" w:cs="Times New Roman" w:eastAsia="Times New Roman" w:hAnsi="Times New Roman"/>
          <w:sz w:val="20"/>
          <w:szCs w:val="20"/>
          <w:color w:val="auto"/>
        </w:rPr>
      </w:pPr>
    </w:p>
    <w:p>
      <w:pPr>
        <w:ind w:left="-7" w:right="20" w:firstLine="7"/>
        <w:spacing w:after="0" w:line="246" w:lineRule="auto"/>
        <w:tabs>
          <w:tab w:leader="none" w:pos="346"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thereto, the Borrower would be in compliance on a Pro Forma Basis with the Financial Covenants and (B) no Default or Event of Default shall have occurred and be continuing;</w:t>
      </w:r>
    </w:p>
    <w:p>
      <w:pPr>
        <w:spacing w:after="0" w:line="181" w:lineRule="exact"/>
        <w:rPr>
          <w:rFonts w:ascii="Times New Roman" w:cs="Times New Roman" w:eastAsia="Times New Roman" w:hAnsi="Times New Roman"/>
          <w:sz w:val="20"/>
          <w:szCs w:val="20"/>
          <w:color w:val="auto"/>
        </w:rPr>
      </w:pPr>
    </w:p>
    <w:p>
      <w:pPr>
        <w:ind w:left="953" w:hanging="236"/>
        <w:spacing w:after="0"/>
        <w:tabs>
          <w:tab w:leader="none" w:pos="953"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Payments made on or after the Closing Date in connection with the Transactions; and</w:t>
      </w:r>
    </w:p>
    <w:p>
      <w:pPr>
        <w:spacing w:after="0" w:line="148"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4"/>
          <w:szCs w:val="14"/>
          <w:color w:val="auto"/>
        </w:rPr>
        <w:t>-105-</w:t>
      </w:r>
    </w:p>
    <w:p>
      <w:pPr>
        <w:sectPr>
          <w:pgSz w:w="11900" w:h="16838" w:orient="portrait"/>
          <w:cols w:equalWidth="0" w:num="1">
            <w:col w:w="10253"/>
          </w:cols>
          <w:pgMar w:left="1207" w:top="265" w:right="439" w:bottom="1440" w:gutter="0" w:footer="0" w:header="0"/>
        </w:sectPr>
      </w:pPr>
    </w:p>
    <w:bookmarkStart w:id="118" w:name="page119"/>
    <w:bookmarkEnd w:id="118"/>
    <w:p>
      <w:pPr>
        <w:jc w:val="both"/>
        <w:ind w:left="764" w:firstLine="724"/>
        <w:spacing w:after="0" w:line="249" w:lineRule="auto"/>
        <w:tabs>
          <w:tab w:leader="none" w:pos="1783"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of any dividend or other distribution or the consummation of any irrevocable redemption within 60 days after the date of declaration of the dividend or other distribution or the giving of the redemption notice, as the case may be, if at the date of declaration or notice, the dividend or other distribution or redemption payment would have complied with the provisions of this Agreement.</w:t>
      </w:r>
    </w:p>
    <w:p>
      <w:pPr>
        <w:spacing w:after="0" w:line="180" w:lineRule="exact"/>
        <w:rPr>
          <w:sz w:val="20"/>
          <w:szCs w:val="20"/>
          <w:color w:val="auto"/>
        </w:rPr>
      </w:pPr>
    </w:p>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in the event that a Restricted Payment meets the criteria of more than one of the categories of Restricted Payments described above, the Borrower may, in its sole discretion, classify all or a portion of such Restricted Payment or any portion thereof in a manner that complies with this Section 6.05 and will only be required to include the amount and type of such Restricted Payment in one or more of the above clauses.</w:t>
      </w:r>
    </w:p>
    <w:p>
      <w:pPr>
        <w:spacing w:after="0" w:line="180" w:lineRule="exact"/>
        <w:rPr>
          <w:sz w:val="20"/>
          <w:szCs w:val="20"/>
          <w:color w:val="auto"/>
        </w:rPr>
      </w:pPr>
    </w:p>
    <w:p>
      <w:pPr>
        <w:jc w:val="both"/>
        <w:ind w:left="4" w:firstLine="1542"/>
        <w:spacing w:after="0" w:line="254" w:lineRule="auto"/>
        <w:rPr>
          <w:sz w:val="20"/>
          <w:szCs w:val="20"/>
          <w:color w:val="auto"/>
        </w:rPr>
      </w:pPr>
      <w:r>
        <w:rPr>
          <w:rFonts w:ascii="Times New Roman" w:cs="Times New Roman" w:eastAsia="Times New Roman" w:hAnsi="Times New Roman"/>
          <w:sz w:val="19"/>
          <w:szCs w:val="19"/>
          <w:color w:val="auto"/>
        </w:rPr>
        <w:t xml:space="preserve">Section 6.06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The Borrower will not, nor will it permit any Restricted Subsidiary to, directly or indirectly, enter into any transaction of any kind with any Affiliate of the Borrower or any Restricted Subsidiary, whether or not in the ordinary course of business, involving aggregate payments or consideration in excess of $10,000,000, other than (a) transactions among the Public Company Parent, the Borrower and the Restricted Subsidiaries, (b) transactions on terms substantially as favorable to the Borrower or such Restricted Subsidiary as would be obtainable by the Borrower or such Restricted Subsidiary at the time in a comparable arm’s-length transaction with a Person other than an Affiliate, (c) the Transactions, (d) compensation and other customary arrangements relating to the operation of the business of the Borrower and its Restricted Subsidiaries, (e) Restricted Payments permitted under Section 6.05 and Investments permitted under Section 6.04, (f) employment and severance arrangements in the ordinary course of business and transactions pursuant to equity-based plans and employee benefit plans and arrangements in the ordinary course of business,</w:t>
      </w:r>
    </w:p>
    <w:p>
      <w:pPr>
        <w:spacing w:after="0" w:line="7" w:lineRule="exact"/>
        <w:rPr>
          <w:sz w:val="20"/>
          <w:szCs w:val="20"/>
          <w:color w:val="auto"/>
        </w:rPr>
      </w:pPr>
    </w:p>
    <w:p>
      <w:pPr>
        <w:jc w:val="both"/>
        <w:ind w:left="4" w:right="20" w:hanging="4"/>
        <w:spacing w:after="0" w:line="252" w:lineRule="auto"/>
        <w:tabs>
          <w:tab w:leader="none" w:pos="311"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customary fees and reasonable out-of-pocket costs to, and indemnities provided on behalf of, directors, managers, officers, employees and consultants of the Borrower and the Restricted Subsidiaries (or any direct or indirect parent (including Public Company Parent) of the Borrower) in the ordinary course of business to the extent attributable to the ownership or operation of the Borrower and the Restricted Subsidiaries, (h)(x) the payment of indemnification and other similar amounts to the Investors and reimbursement of expenses of the Investors and (y) customary payments by the Borrower and any of its Restricted Subsidiaries to the Investors made for any financial advisory, financing, underwriting or placement services or in respect of other investment banking activities, which payments are approved by a majority of the members of the board of directors or managers or a majority of the disinterested members of the board of directors or managers of the Borrower in good faith and (i) a joint venture which would constitute a transaction with an Affiliate solely as a result of the Borrower or any Restricted Subsidiary owning an equity interest or otherwise controlling such joint venture or similar entity, (j) transactions pursuant to agreements in existence on the Closing Date as described in the sections “Reorganization Transactions,” “Certain Relationships and Related Party Transactions” of the final prospectus, dated April 4, 2019, filed by the Public Company Parent with the SEC on April 6, 2019, or any amendment, modification, supplement or waiver thereto to the extent such amendment, modification, supplement or waiver is not materially adverse to the Lenders in any material respect,</w:t>
      </w:r>
    </w:p>
    <w:p>
      <w:pPr>
        <w:spacing w:after="0" w:line="1" w:lineRule="exact"/>
        <w:rPr>
          <w:rFonts w:ascii="Times New Roman" w:cs="Times New Roman" w:eastAsia="Times New Roman" w:hAnsi="Times New Roman"/>
          <w:sz w:val="19"/>
          <w:szCs w:val="19"/>
          <w:color w:val="auto"/>
        </w:rPr>
      </w:pPr>
    </w:p>
    <w:p>
      <w:pPr>
        <w:jc w:val="both"/>
        <w:ind w:left="4" w:hanging="4"/>
        <w:spacing w:after="0"/>
        <w:tabs>
          <w:tab w:leader="none" w:pos="298"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by the Borrower or any of its Subsidiaries pursuant to any tax sharing agreements with any direct or indirect parent of the Borrower to the extent attributable to the ownership or operation of the Borrower and its Subsidiaries, but only to the extent permitted by </w:t>
      </w:r>
      <w:r>
        <w:rPr>
          <w:rFonts w:ascii="Times New Roman" w:cs="Times New Roman" w:eastAsia="Times New Roman" w:hAnsi="Times New Roman"/>
          <w:sz w:val="20"/>
          <w:szCs w:val="20"/>
          <w:u w:val="single" w:color="auto"/>
          <w:color w:val="auto"/>
        </w:rPr>
        <w:t>Section 6.05(c)</w:t>
      </w:r>
      <w:r>
        <w:rPr>
          <w:rFonts w:ascii="Times New Roman" w:cs="Times New Roman" w:eastAsia="Times New Roman" w:hAnsi="Times New Roman"/>
          <w:sz w:val="20"/>
          <w:szCs w:val="20"/>
          <w:color w:val="auto"/>
        </w:rPr>
        <w:t>, (l) the issuance or transfer of Equity Interests (other than Disqualified Equity Interests) of the Borrower or any parent company to any Permitted Holder or to any former, present or future director, manager, officer, employee or consultant (or any Affiliate or any Immediate Family Member of any of the foregoing) of the Borrower, any of its Subsidiaries or any direct or indirect parent thereof, and (m) Permitted Intercompany Activities.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-106-</w:t>
      </w:r>
    </w:p>
    <w:p>
      <w:pPr>
        <w:sectPr>
          <w:pgSz w:w="11900" w:h="16838" w:orient="portrait"/>
          <w:cols w:equalWidth="0" w:num="1">
            <w:col w:w="11024"/>
          </w:cols>
          <w:pgMar w:left="436" w:top="265" w:right="439" w:bottom="1440" w:gutter="0" w:footer="0" w:header="0"/>
        </w:sectPr>
      </w:pPr>
    </w:p>
    <w:bookmarkStart w:id="119" w:name="page120"/>
    <w:bookmarkEnd w:id="119"/>
    <w:p>
      <w:pPr>
        <w:jc w:val="both"/>
        <w:ind w:right="20" w:firstLine="1542"/>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6.07 </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The Borrower will not permit the Interest Coverage Ratio as of the last day of any Test Period to be less than 3.00 to 1.00.</w:t>
      </w:r>
    </w:p>
    <w:p>
      <w:pPr>
        <w:spacing w:after="0" w:line="159" w:lineRule="exact"/>
        <w:rPr>
          <w:sz w:val="20"/>
          <w:szCs w:val="20"/>
          <w:color w:val="auto"/>
        </w:rPr>
      </w:pPr>
    </w:p>
    <w:p>
      <w:pPr>
        <w:jc w:val="both"/>
        <w:ind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Leverage Ratio</w:t>
      </w:r>
      <w:r>
        <w:rPr>
          <w:rFonts w:ascii="Times New Roman" w:cs="Times New Roman" w:eastAsia="Times New Roman" w:hAnsi="Times New Roman"/>
          <w:sz w:val="20"/>
          <w:szCs w:val="20"/>
          <w:color w:val="auto"/>
        </w:rPr>
        <w:t xml:space="preserve">. The Borrower will not permit the Leverage Ratio as of the last day of any Test Period to be greater than 3.50 to 1.00;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permitted, not more than one time during the term of this Agreement, to allow the Leverage Ratio required under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to be increased to 4.00 to 1.00 in connection with a Material Acquisition for the fiscal quarter in which such Material Acquisition is consummated and the four fiscal quarters immediately following such Material Acquisition (such increase, an “</w:t>
      </w:r>
      <w:r>
        <w:rPr>
          <w:rFonts w:ascii="Times New Roman" w:cs="Times New Roman" w:eastAsia="Times New Roman" w:hAnsi="Times New Roman"/>
          <w:sz w:val="20"/>
          <w:szCs w:val="20"/>
          <w:u w:val="single" w:color="auto"/>
          <w:color w:val="auto"/>
        </w:rPr>
        <w:t>Acquisition Holiday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 the Borrower shall provide notice in writing to the Administrative Agent of such increase and a transaction description of such acquisition (regarding the name of the Person or assets being acquired, the purchase price and the acquired revenue (for the trailing four quarter period) and Consolidated EBITDA of such acquired Person or assets) and (ii) at the end of such Acquisition Holiday, the Leverage Ratio permitted under this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shall revert to 3.50 to 1.00.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EVENTS OF DEFAULT</w:t>
      </w:r>
    </w:p>
    <w:p>
      <w:pPr>
        <w:spacing w:after="0" w:line="19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7.01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If any of the following events (any such event,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w:t>
      </w:r>
    </w:p>
    <w:p>
      <w:pPr>
        <w:spacing w:after="0" w:line="216" w:lineRule="exact"/>
        <w:rPr>
          <w:sz w:val="20"/>
          <w:szCs w:val="20"/>
          <w:color w:val="auto"/>
        </w:rPr>
      </w:pPr>
    </w:p>
    <w:p>
      <w:pPr>
        <w:jc w:val="both"/>
        <w:ind w:left="760" w:right="20" w:firstLine="724"/>
        <w:spacing w:after="0" w:line="254" w:lineRule="auto"/>
        <w:tabs>
          <w:tab w:leader="none" w:pos="177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 or</w:t>
      </w:r>
    </w:p>
    <w:p>
      <w:pPr>
        <w:spacing w:after="0" w:line="174"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8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payable under any Loan Document, when and as the same shall become due and payable, and such failure shall continue unremedied for a period of five Business Days; or</w:t>
      </w:r>
    </w:p>
    <w:p>
      <w:pPr>
        <w:spacing w:after="0" w:line="174" w:lineRule="exact"/>
        <w:rPr>
          <w:rFonts w:ascii="Times New Roman" w:cs="Times New Roman" w:eastAsia="Times New Roman" w:hAnsi="Times New Roman"/>
          <w:sz w:val="20"/>
          <w:szCs w:val="20"/>
          <w:color w:val="auto"/>
        </w:rPr>
      </w:pPr>
    </w:p>
    <w:p>
      <w:pPr>
        <w:jc w:val="both"/>
        <w:ind w:left="760" w:firstLine="724"/>
        <w:spacing w:after="0" w:line="244" w:lineRule="auto"/>
        <w:tabs>
          <w:tab w:leader="none" w:pos="175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or any amendment or modification thereof or waiver thereunder, shall, if qualified by materiality, prove to have been incorrect or, if not so qualified, prove to have been incorrect in any material respect, in each case when made or deemed made and, to the extent capable of being cured, such incorrect representation or warranty shall remain incorrect for a period of thirty (30) days after written notice thereof from the Administrative Agent to the Borrower; or</w:t>
      </w:r>
    </w:p>
    <w:p>
      <w:pPr>
        <w:spacing w:after="0" w:line="185"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77"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observe or perform any covenant, condition or agreement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5.03(a)</w:t>
      </w:r>
      <w:r>
        <w:rPr>
          <w:rFonts w:ascii="Times New Roman" w:cs="Times New Roman" w:eastAsia="Times New Roman" w:hAnsi="Times New Roman"/>
          <w:sz w:val="20"/>
          <w:szCs w:val="20"/>
          <w:color w:val="auto"/>
        </w:rPr>
        <w:t xml:space="preserve"> (solely with respect to the legal existence of the Borrower)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jc w:val="both"/>
        <w:ind w:left="760" w:right="20" w:firstLine="724"/>
        <w:spacing w:after="0" w:line="254" w:lineRule="auto"/>
        <w:tabs>
          <w:tab w:leader="none" w:pos="179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fail to observe or perform any covenant, condition or agreement contained in any Loan Document (other than those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and such failure shall continue unremedied for a period of 30 days after notice thereof from the Administrative Agent to the Borrower; 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ectPr>
          <w:pgSz w:w="11900" w:h="16838" w:orient="portrait"/>
          <w:cols w:equalWidth="0" w:num="1">
            <w:col w:w="11020"/>
          </w:cols>
          <w:pgMar w:left="440" w:top="265" w:right="439" w:bottom="1440" w:gutter="0" w:footer="0" w:header="0"/>
        </w:sectPr>
      </w:pPr>
    </w:p>
    <w:bookmarkStart w:id="120" w:name="page121"/>
    <w:bookmarkEnd w:id="120"/>
    <w:p>
      <w:pPr>
        <w:jc w:val="both"/>
        <w:ind w:left="-7" w:right="20" w:firstLine="724"/>
        <w:spacing w:after="0" w:line="254" w:lineRule="auto"/>
        <w:tabs>
          <w:tab w:leader="none" w:pos="987" w:val="left"/>
        </w:tabs>
        <w:numPr>
          <w:ilvl w:val="1"/>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or any Restricted Subsidiary shall fail to make any payment (whether of principal or interest and regardless of amount) in respect of any Material Indebtedness, when and as the same shall become due and payable (subject to the expiration of any applicable grace period); or</w:t>
      </w:r>
    </w:p>
    <w:p>
      <w:pPr>
        <w:spacing w:after="0" w:line="174" w:lineRule="exact"/>
        <w:rPr>
          <w:rFonts w:ascii="Times New Roman" w:cs="Times New Roman" w:eastAsia="Times New Roman" w:hAnsi="Times New Roman"/>
          <w:sz w:val="20"/>
          <w:szCs w:val="20"/>
          <w:color w:val="auto"/>
        </w:rPr>
      </w:pPr>
    </w:p>
    <w:p>
      <w:pPr>
        <w:jc w:val="both"/>
        <w:ind w:left="-7" w:right="20" w:firstLine="724"/>
        <w:spacing w:after="0" w:line="258" w:lineRule="auto"/>
        <w:tabs>
          <w:tab w:leader="none" w:pos="992"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event or condition occurs that results in any Material Indebtedness of the Borrower or any Restricted Subsidiary becoming due prior to its scheduled maturity or that, after the expiration of any applicable grace period, enables or permits (with or without the giving of notice, the lapse of time or both) the holder or holders of any Material Indebtedness of the Borrower or any Restricted Subsidiary or any trustee or agent on its or their behalf to cause any Material Indebtedness of the Borrower or any Restricted Subsidiary to become due, or to require the prepayment, repurchase, redemption or defeasance thereof, prior to its scheduled maturity;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this </w:t>
      </w:r>
      <w:r>
        <w:rPr>
          <w:rFonts w:ascii="Times New Roman" w:cs="Times New Roman" w:eastAsia="Times New Roman" w:hAnsi="Times New Roman"/>
          <w:sz w:val="19"/>
          <w:szCs w:val="19"/>
          <w:u w:val="single" w:color="auto"/>
          <w:color w:val="auto"/>
        </w:rPr>
        <w:t>paragraph (g)</w:t>
      </w:r>
      <w:r>
        <w:rPr>
          <w:rFonts w:ascii="Times New Roman" w:cs="Times New Roman" w:eastAsia="Times New Roman" w:hAnsi="Times New Roman"/>
          <w:sz w:val="19"/>
          <w:szCs w:val="19"/>
          <w:color w:val="auto"/>
        </w:rPr>
        <w:t xml:space="preserve"> shall not apply to (i) secured Indebtedness that becomes due as a result of the sale, transfer or other disposition (including as a result of a casualty or condemnation event) of the property or assets securing such Indebtedness or (ii) any Indebtedness that becomes due as a result of a refinancing thereof permitted by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or</w:t>
      </w:r>
    </w:p>
    <w:p>
      <w:pPr>
        <w:spacing w:after="0" w:line="173" w:lineRule="exact"/>
        <w:rPr>
          <w:rFonts w:ascii="Times New Roman" w:cs="Times New Roman" w:eastAsia="Times New Roman" w:hAnsi="Times New Roman"/>
          <w:sz w:val="19"/>
          <w:szCs w:val="19"/>
          <w:color w:val="auto"/>
        </w:rPr>
      </w:pPr>
    </w:p>
    <w:p>
      <w:pPr>
        <w:jc w:val="both"/>
        <w:ind w:left="-7" w:right="20" w:firstLine="724"/>
        <w:spacing w:after="0" w:line="260" w:lineRule="auto"/>
        <w:tabs>
          <w:tab w:leader="none" w:pos="1022" w:val="left"/>
        </w:tabs>
        <w:numPr>
          <w:ilvl w:val="1"/>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involuntary proceeding shall be commenced or an involuntary petition shall be filed seeking (i) liquidation, reorganization or other relief in respect of the Borrower or any Material Restricted Subsidiary or its debts, or of a substantial part of its assets, under any Federal, state or foreign bankruptcy, insolvency, receivership or similar law now or hereafter in effect or</w:t>
      </w:r>
    </w:p>
    <w:p>
      <w:pPr>
        <w:jc w:val="both"/>
        <w:ind w:left="-7" w:firstLine="7"/>
        <w:spacing w:after="0" w:line="261" w:lineRule="auto"/>
        <w:tabs>
          <w:tab w:leader="none" w:pos="284" w:val="left"/>
        </w:tabs>
        <w:numPr>
          <w:ilvl w:val="0"/>
          <w:numId w:val="1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appointment of a receiver, trustee, custodian, sequestrator, conservator or similar official for the Borrower or any Material Restricted Subsidiary or for a substantial part of its assets, and, in any such case, such proceeding or petition shall continue undismissed or undischarged for 60 days or an order or decree approving or ordering any of the foregoing shall be entered; or</w:t>
      </w:r>
    </w:p>
    <w:p>
      <w:pPr>
        <w:spacing w:after="0" w:line="169" w:lineRule="exact"/>
        <w:rPr>
          <w:rFonts w:ascii="Times New Roman" w:cs="Times New Roman" w:eastAsia="Times New Roman" w:hAnsi="Times New Roman"/>
          <w:sz w:val="19"/>
          <w:szCs w:val="19"/>
          <w:color w:val="auto"/>
        </w:rPr>
      </w:pPr>
    </w:p>
    <w:p>
      <w:pPr>
        <w:jc w:val="both"/>
        <w:ind w:left="-7" w:firstLine="724"/>
        <w:spacing w:after="0" w:line="243" w:lineRule="auto"/>
        <w:tabs>
          <w:tab w:leader="none" w:pos="984"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Material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paragraph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(iii) apply for or consent to the appointment of a receiver, trustee, custodian, sequestrator, conservator or similar official for the Borrower or any Material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w:t>
      </w:r>
    </w:p>
    <w:p>
      <w:pPr>
        <w:spacing w:after="0" w:line="189" w:lineRule="exact"/>
        <w:rPr>
          <w:rFonts w:ascii="Times New Roman" w:cs="Times New Roman" w:eastAsia="Times New Roman" w:hAnsi="Times New Roman"/>
          <w:sz w:val="20"/>
          <w:szCs w:val="20"/>
          <w:color w:val="auto"/>
        </w:rPr>
      </w:pPr>
    </w:p>
    <w:p>
      <w:pPr>
        <w:ind w:left="-7" w:right="20" w:firstLine="724"/>
        <w:spacing w:after="0" w:line="269" w:lineRule="auto"/>
        <w:tabs>
          <w:tab w:leader="none" w:pos="987"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any Material Restricted Subsidiary shall become unable, admit in writing its inability or fail generally to pay its debts as they become due; or</w:t>
      </w:r>
    </w:p>
    <w:p>
      <w:pPr>
        <w:spacing w:after="0" w:line="159" w:lineRule="exact"/>
        <w:rPr>
          <w:rFonts w:ascii="Times New Roman" w:cs="Times New Roman" w:eastAsia="Times New Roman" w:hAnsi="Times New Roman"/>
          <w:sz w:val="20"/>
          <w:szCs w:val="20"/>
          <w:color w:val="auto"/>
        </w:rPr>
      </w:pPr>
    </w:p>
    <w:p>
      <w:pPr>
        <w:jc w:val="both"/>
        <w:ind w:left="-7" w:firstLine="724"/>
        <w:spacing w:after="0" w:line="245" w:lineRule="auto"/>
        <w:tabs>
          <w:tab w:leader="none" w:pos="991" w:val="left"/>
        </w:tabs>
        <w:numPr>
          <w:ilvl w:val="1"/>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the Threshold Amount (to the extent not paid, fully bonded or covered by insurance) shall be rendered against the Borrower, any Restricted Subsidiary or any combination thereof and the same shall remain unpaid, undischarged, undismissed or unvacated for a period of 60 consecutive days during which execution shall not be effectively stayed, or any action shall be legally taken by a judgment creditor to attach or levy upon any assets of the Borrower or any Restricted Subsidiary to enforce any such judgment and such action shall not have been stayed; or</w:t>
      </w:r>
    </w:p>
    <w:p>
      <w:pPr>
        <w:spacing w:after="0" w:line="117"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4"/>
          <w:szCs w:val="14"/>
          <w:color w:val="auto"/>
        </w:rPr>
        <w:t>-108-</w:t>
      </w:r>
    </w:p>
    <w:p>
      <w:pPr>
        <w:sectPr>
          <w:pgSz w:w="11900" w:h="16838" w:orient="portrait"/>
          <w:cols w:equalWidth="0" w:num="1">
            <w:col w:w="10253"/>
          </w:cols>
          <w:pgMar w:left="1207" w:top="265" w:right="439" w:bottom="1440" w:gutter="0" w:footer="0" w:header="0"/>
        </w:sectPr>
      </w:pPr>
    </w:p>
    <w:bookmarkStart w:id="121" w:name="page122"/>
    <w:bookmarkEnd w:id="121"/>
    <w:p>
      <w:pPr>
        <w:ind w:left="1720" w:hanging="236"/>
        <w:spacing w:after="0"/>
        <w:tabs>
          <w:tab w:leader="none" w:pos="17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ERISA Event shall have occurred that would reasonably be expected to have a Material Adverse Effect; or</w:t>
      </w:r>
    </w:p>
    <w:p>
      <w:pPr>
        <w:spacing w:after="0" w:line="215" w:lineRule="exact"/>
        <w:rPr>
          <w:rFonts w:ascii="Times New Roman" w:cs="Times New Roman" w:eastAsia="Times New Roman" w:hAnsi="Times New Roman"/>
          <w:sz w:val="20"/>
          <w:szCs w:val="20"/>
          <w:color w:val="auto"/>
        </w:rPr>
      </w:pPr>
    </w:p>
    <w:p>
      <w:pPr>
        <w:ind w:left="1820" w:hanging="336"/>
        <w:spacing w:after="0"/>
        <w:tabs>
          <w:tab w:leader="none" w:pos="182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 or</w:t>
      </w:r>
    </w:p>
    <w:p>
      <w:pPr>
        <w:spacing w:after="0" w:line="215" w:lineRule="exact"/>
        <w:rPr>
          <w:rFonts w:ascii="Times New Roman" w:cs="Times New Roman" w:eastAsia="Times New Roman" w:hAnsi="Times New Roman"/>
          <w:sz w:val="20"/>
          <w:szCs w:val="20"/>
          <w:color w:val="auto"/>
        </w:rPr>
      </w:pPr>
    </w:p>
    <w:p>
      <w:pPr>
        <w:jc w:val="both"/>
        <w:ind w:left="760" w:right="20" w:firstLine="724"/>
        <w:spacing w:after="0" w:line="245" w:lineRule="auto"/>
        <w:tabs>
          <w:tab w:leader="none" w:pos="179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Document, at any time after its execution and delivery and for any reason other than as expressly permitted hereunder or thereunder or satisfaction in full of all the Obligations, ceases to be in full force and effect in any material respect; or the Borrower or any Loan Party contests in any manner the validity or enforceability of any Loan Document; or the Borrower or any Loan Party denies that it has any or further liability or obligation under any Loan Document, or purports to revoke, terminate or rescind any Loan Document (other than pursuant to any termination in accordance with the terms hereof or thereof or satisfaction in full of the Obligations); or</w:t>
      </w:r>
    </w:p>
    <w:p>
      <w:pPr>
        <w:spacing w:after="0" w:line="76" w:lineRule="exact"/>
        <w:rPr>
          <w:rFonts w:ascii="Times New Roman" w:cs="Times New Roman" w:eastAsia="Times New Roman" w:hAnsi="Times New Roman"/>
          <w:sz w:val="20"/>
          <w:szCs w:val="20"/>
          <w:color w:val="auto"/>
        </w:rPr>
      </w:pPr>
    </w:p>
    <w:p>
      <w:pPr>
        <w:jc w:val="both"/>
        <w:ind w:left="760" w:firstLine="724"/>
        <w:spacing w:after="0" w:line="245" w:lineRule="auto"/>
        <w:tabs>
          <w:tab w:leader="none" w:pos="177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Collateral Document shall for any reason (other than pursuant to the terms thereof including as a result of a transaction not prohibited under this Agreement) cease to create a valid and perfected Lien on and security interest in any material portion of the Collateral purported to be covered thereby, subject to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except to the extent that any such perfection is not required pursuant to the Collateral and Guarantee Requirement or any loss thereof results from the failure of the Administrative Agent or the Collateral Agent to maintain possession of certificates actually delivered to it representing securities pledged under the Collateral Documents or to file Uniform Commercial Code continuation statements;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then, and in every such event (other than an event with respect to the Borrower described in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w:t>
      </w:r>
      <w:r>
        <w:rPr>
          <w:rFonts w:ascii="Times New Roman" w:cs="Times New Roman" w:eastAsia="Times New Roman" w:hAnsi="Times New Roman"/>
          <w:sz w:val="19"/>
          <w:szCs w:val="19"/>
          <w:u w:val="single" w:color="auto"/>
          <w:color w:val="auto"/>
        </w:rPr>
        <w:t>paragraph (h)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 xml:space="preserve">Section 7.02 </w:t>
      </w:r>
      <w:r>
        <w:rPr>
          <w:rFonts w:ascii="Times New Roman" w:cs="Times New Roman" w:eastAsia="Times New Roman" w:hAnsi="Times New Roman"/>
          <w:sz w:val="20"/>
          <w:szCs w:val="20"/>
          <w:u w:val="single" w:color="auto"/>
          <w:color w:val="auto"/>
        </w:rPr>
        <w:t>Right to Cure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67"/>
        <w:spacing w:after="0" w:line="245" w:lineRule="auto"/>
        <w:tabs>
          <w:tab w:leader="none" w:pos="105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if the Borrower determines that an Event of Default in respect of any Financial Covenant has occurred or may occur, during the period commencing after the beginning of the last fiscal quarter included in such Test Period and ending 15 Business Days after the date on which financial statements are required to be delivered hereunder with respect to such fiscal quarter (the “</w:t>
      </w:r>
      <w:r>
        <w:rPr>
          <w:rFonts w:ascii="Times New Roman" w:cs="Times New Roman" w:eastAsia="Times New Roman" w:hAnsi="Times New Roman"/>
          <w:sz w:val="20"/>
          <w:szCs w:val="20"/>
          <w:u w:val="single" w:color="auto"/>
          <w:color w:val="auto"/>
        </w:rPr>
        <w:t>Cure Expiration Date</w:t>
      </w:r>
      <w:r>
        <w:rPr>
          <w:rFonts w:ascii="Times New Roman" w:cs="Times New Roman" w:eastAsia="Times New Roman" w:hAnsi="Times New Roman"/>
          <w:sz w:val="20"/>
          <w:szCs w:val="20"/>
          <w:color w:val="auto"/>
        </w:rPr>
        <w:t>”), a Designated Equity Contribution may be made to the Borrower (a “</w:t>
      </w:r>
      <w:r>
        <w:rPr>
          <w:rFonts w:ascii="Times New Roman" w:cs="Times New Roman" w:eastAsia="Times New Roman" w:hAnsi="Times New Roman"/>
          <w:sz w:val="20"/>
          <w:szCs w:val="20"/>
          <w:u w:val="single" w:color="auto"/>
          <w:color w:val="auto"/>
        </w:rPr>
        <w:t>Designated Equity Contribution</w:t>
      </w:r>
      <w:r>
        <w:rPr>
          <w:rFonts w:ascii="Times New Roman" w:cs="Times New Roman" w:eastAsia="Times New Roman" w:hAnsi="Times New Roman"/>
          <w:sz w:val="20"/>
          <w:szCs w:val="20"/>
          <w:color w:val="auto"/>
        </w:rPr>
        <w:t>”), and the amount of the net cash proceeds thereof shall be deemed to increase Consolidated EBITDA with respect to such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ectPr>
          <w:pgSz w:w="11900" w:h="16838" w:orient="portrait"/>
          <w:cols w:equalWidth="0" w:num="1">
            <w:col w:w="11020"/>
          </w:cols>
          <w:pgMar w:left="440" w:top="265" w:right="439" w:bottom="1440" w:gutter="0" w:footer="0" w:header="0"/>
        </w:sectPr>
      </w:pPr>
    </w:p>
    <w:bookmarkStart w:id="122" w:name="page123"/>
    <w:bookmarkEnd w:id="122"/>
    <w:p>
      <w:pPr>
        <w:jc w:val="both"/>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quarter;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net cash proceeds are actually received by the Borrower as cash common equity (including through capital contribution of such net cash proceeds to the Borrower) during the period commencing after the beginning of the last fiscal quarter included in such Test Period by the Borrower and ending on the Cure Expiration Date. The parties hereby acknowledge that this </w:t>
      </w:r>
      <w:r>
        <w:rPr>
          <w:rFonts w:ascii="Times New Roman" w:cs="Times New Roman" w:eastAsia="Times New Roman" w:hAnsi="Times New Roman"/>
          <w:sz w:val="20"/>
          <w:szCs w:val="20"/>
          <w:u w:val="single" w:color="auto"/>
          <w:color w:val="auto"/>
        </w:rPr>
        <w:t>Section 7.02(a)</w:t>
      </w:r>
      <w:r>
        <w:rPr>
          <w:rFonts w:ascii="Times New Roman" w:cs="Times New Roman" w:eastAsia="Times New Roman" w:hAnsi="Times New Roman"/>
          <w:sz w:val="20"/>
          <w:szCs w:val="20"/>
          <w:color w:val="auto"/>
        </w:rPr>
        <w:t xml:space="preserve"> may not be relied on for purposes of calculating any financial ratios other than as applicable to the Financial Covenants. Notwithstanding anything to the contrary contained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 upon designation of the Designated Equity Contribution by the Borrower in an amount necessary to cure any Event of Default in respect of any Financial Covenant, such covenant will be deemed satisfied and complied with as of the end of the relevant fiscal quarter with the same effect as though there had been no failure to comply with such covenant and any Event of Default under such covenant (and any other Default as a result thereof) will be deemed not to have occurred for purposes of the Loan Documents, and (B) from and after the date that the Borrower delivers a written notice to the Administrative Agent that it intends to exercise its cure right under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Notice of Intent to Cure</w:t>
      </w:r>
      <w:r>
        <w:rPr>
          <w:rFonts w:ascii="Times New Roman" w:cs="Times New Roman" w:eastAsia="Times New Roman" w:hAnsi="Times New Roman"/>
          <w:sz w:val="20"/>
          <w:szCs w:val="20"/>
          <w:color w:val="auto"/>
        </w:rPr>
        <w:t xml:space="preserve">”) neither the Administrative Agent nor any Lender may exercise any rights or remedies under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under any other Loan Document) with respect to the quarter for which a Notice of Intent to Cure has been provided (and any other Default as a result thereof), but the Borrower shall not be permitted to borrow Revolving Loans or Swing Line Loans or make any request for an L/C Credit Extension, until and unless the Cure Expiration Date has occurred without the Designated Equity Contribution having been made.</w:t>
      </w:r>
    </w:p>
    <w:p>
      <w:pPr>
        <w:spacing w:after="0" w:line="186" w:lineRule="exact"/>
        <w:rPr>
          <w:sz w:val="20"/>
          <w:szCs w:val="20"/>
          <w:color w:val="auto"/>
        </w:rPr>
      </w:pPr>
    </w:p>
    <w:p>
      <w:pPr>
        <w:jc w:val="both"/>
        <w:ind w:firstLine="767"/>
        <w:spacing w:after="0" w:line="242" w:lineRule="auto"/>
        <w:tabs>
          <w:tab w:leader="none" w:pos="105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 each period of four consecutive fiscal quarters, there shall be at least two fiscal quarters in which no Designated Equity Contribution is made, (ii) no more than five Designated Equity Contributions may be made in the aggregate during the term of this Agreement, (iii) the amount of any Designated Equity Contribution shall be no more than the amount required to cause the Borrower to be in Pro Forma Compliance with the Financial Covenants for any applicable period, (iv) there shall be no pro forma reduction in Indebtedness with the proceeds of any Designated Equity Contribution for determining compliance with the Financial Covenants for the fiscal quarter with respect to which such Designated Equity Contribution was made;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to the extent such proceeds are actually applied to prepay Indebtedness, such reduction may be credited in any subsequent fiscal quarter and (v) other than as set forth in the proviso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the foregoing may not be relied on for purposes of calculating any financial ratios other than compliance with the Financial Covenants and shall not result in any adjustment to any “baskets” or other amounts other than the amount of Consolidated EBITDA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92" w:lineRule="exact"/>
        <w:rPr>
          <w:rFonts w:ascii="Times New Roman" w:cs="Times New Roman" w:eastAsia="Times New Roman" w:hAnsi="Times New Roman"/>
          <w:sz w:val="20"/>
          <w:szCs w:val="20"/>
          <w:color w:val="auto"/>
        </w:rPr>
      </w:pPr>
    </w:p>
    <w:p>
      <w:pPr>
        <w:jc w:val="both"/>
        <w:ind w:firstLine="767"/>
        <w:spacing w:after="0" w:line="266" w:lineRule="auto"/>
        <w:tabs>
          <w:tab w:leader="none" w:pos="1073" w:val="left"/>
        </w:tabs>
        <w:numPr>
          <w:ilvl w:val="0"/>
          <w:numId w:val="1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set forth in this Agreement, if a Designated Equity Contribution is made, the Borrower and its Restricted Subsidiaries will be prohibited from making any Restricted Payments pursuant to </w:t>
      </w:r>
      <w:r>
        <w:rPr>
          <w:rFonts w:ascii="Times New Roman" w:cs="Times New Roman" w:eastAsia="Times New Roman" w:hAnsi="Times New Roman"/>
          <w:sz w:val="19"/>
          <w:szCs w:val="19"/>
          <w:u w:val="single" w:color="auto"/>
          <w:color w:val="auto"/>
        </w:rPr>
        <w:t>Section 6.05(i)</w:t>
      </w:r>
      <w:r>
        <w:rPr>
          <w:rFonts w:ascii="Times New Roman" w:cs="Times New Roman" w:eastAsia="Times New Roman" w:hAnsi="Times New Roman"/>
          <w:sz w:val="19"/>
          <w:szCs w:val="19"/>
          <w:color w:val="auto"/>
        </w:rPr>
        <w:t xml:space="preserve"> or make any Investment in an Unrestricted Subsidiary until the Borrower is in compliance with the Financial Covenants as of the last day of a Test Period following the making of such Designated Equity Contribution (without giving effect to such Designated Equity Contribution).</w:t>
      </w:r>
    </w:p>
    <w:p>
      <w:pPr>
        <w:spacing w:after="0" w:line="165" w:lineRule="exact"/>
        <w:rPr>
          <w:sz w:val="20"/>
          <w:szCs w:val="20"/>
          <w:color w:val="auto"/>
        </w:rPr>
      </w:pPr>
    </w:p>
    <w:p>
      <w:pPr>
        <w:jc w:val="both"/>
        <w:ind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7.03 </w:t>
      </w:r>
      <w:r>
        <w:rPr>
          <w:rFonts w:ascii="Times New Roman" w:cs="Times New Roman" w:eastAsia="Times New Roman" w:hAnsi="Times New Roman"/>
          <w:sz w:val="20"/>
          <w:szCs w:val="20"/>
          <w:u w:val="single" w:color="auto"/>
          <w:color w:val="auto"/>
        </w:rPr>
        <w:t>Application of Funds</w:t>
      </w:r>
      <w:r>
        <w:rPr>
          <w:rFonts w:ascii="Times New Roman" w:cs="Times New Roman" w:eastAsia="Times New Roman" w:hAnsi="Times New Roman"/>
          <w:sz w:val="20"/>
          <w:szCs w:val="20"/>
          <w:color w:val="auto"/>
        </w:rPr>
        <w:t xml:space="preserve">. After the exercise of remedies provided for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(or after the Loans have automatically become immediately due and payable and the LC Exposure have automatically been required to be Cash Collateralized as set forth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any amounts received on account of the Obligations shall be applied by the Administrative Agent in the following order:</w:t>
      </w:r>
    </w:p>
    <w:p>
      <w:pPr>
        <w:spacing w:after="0" w:line="180" w:lineRule="exact"/>
        <w:rPr>
          <w:sz w:val="20"/>
          <w:szCs w:val="20"/>
          <w:color w:val="auto"/>
        </w:rPr>
      </w:pPr>
    </w:p>
    <w:p>
      <w:pPr>
        <w:ind w:left="760" w:firstLine="717"/>
        <w:spacing w:after="0" w:line="26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 amounts (including fees, charges and disbursements of counsel to the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ectPr>
          <w:pgSz w:w="11900" w:h="16838" w:orient="portrait"/>
          <w:cols w:equalWidth="0" w:num="1">
            <w:col w:w="11020"/>
          </w:cols>
          <w:pgMar w:left="440" w:top="261" w:right="439" w:bottom="1440" w:gutter="0" w:footer="0" w:header="0"/>
        </w:sectPr>
      </w:pPr>
    </w:p>
    <w:bookmarkStart w:id="123" w:name="page124"/>
    <w:bookmarkEnd w:id="123"/>
    <w:p>
      <w:pPr>
        <w:ind w:left="76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and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payable to the Administrative Agent in its capacity as such;</w:t>
      </w:r>
    </w:p>
    <w:p>
      <w:pPr>
        <w:spacing w:after="0" w:line="216" w:lineRule="exact"/>
        <w:rPr>
          <w:sz w:val="20"/>
          <w:szCs w:val="20"/>
          <w:color w:val="auto"/>
        </w:rPr>
      </w:pPr>
    </w:p>
    <w:p>
      <w:pPr>
        <w:jc w:val="both"/>
        <w:ind w:left="760" w:firstLine="717"/>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pursuant to </w:t>
      </w:r>
      <w:r>
        <w:rPr>
          <w:rFonts w:ascii="Times New Roman" w:cs="Times New Roman" w:eastAsia="Times New Roman" w:hAnsi="Times New Roman"/>
          <w:sz w:val="20"/>
          <w:szCs w:val="20"/>
          <w:u w:val="single" w:color="auto"/>
          <w:color w:val="auto"/>
        </w:rPr>
        <w:t>Section 2.10(b)(i)</w:t>
      </w:r>
      <w:r>
        <w:rPr>
          <w:rFonts w:ascii="Times New Roman" w:cs="Times New Roman" w:eastAsia="Times New Roman" w:hAnsi="Times New Roman"/>
          <w:sz w:val="20"/>
          <w:szCs w:val="20"/>
          <w:color w:val="auto"/>
        </w:rPr>
        <w:t xml:space="preserve">) payable to the Lenders and the Issuing Bank (including fees, charges and disbursements of counsel to the respective Lenders and Issuing Bank arising under the Loan Documents and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left="760" w:right="20" w:firstLine="717"/>
        <w:spacing w:after="0" w:line="274" w:lineRule="auto"/>
        <w:rPr>
          <w:sz w:val="20"/>
          <w:szCs w:val="20"/>
          <w:color w:val="auto"/>
        </w:rPr>
      </w:pP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to payment of that portion of the Obligations constituting accrued and unpaid letter of credit fees pursuant to </w:t>
      </w:r>
      <w:r>
        <w:rPr>
          <w:rFonts w:ascii="Times New Roman" w:cs="Times New Roman" w:eastAsia="Times New Roman" w:hAnsi="Times New Roman"/>
          <w:sz w:val="19"/>
          <w:szCs w:val="19"/>
          <w:u w:val="single" w:color="auto"/>
          <w:color w:val="auto"/>
        </w:rPr>
        <w:t>Section 2.10(b)(i)</w:t>
      </w:r>
      <w:r>
        <w:rPr>
          <w:rFonts w:ascii="Times New Roman" w:cs="Times New Roman" w:eastAsia="Times New Roman" w:hAnsi="Times New Roman"/>
          <w:sz w:val="19"/>
          <w:szCs w:val="19"/>
          <w:color w:val="auto"/>
        </w:rPr>
        <w:t xml:space="preserve"> and interest on the Loans, LC Borrowings and other Obligations arising under the Loan Documents, ratably among the Lenders and the Issuing Bank in proportion to the respective amounts described in this clause </w:t>
      </w:r>
      <w:r>
        <w:rPr>
          <w:rFonts w:ascii="Times New Roman" w:cs="Times New Roman" w:eastAsia="Times New Roman" w:hAnsi="Times New Roman"/>
          <w:sz w:val="19"/>
          <w:szCs w:val="19"/>
          <w:u w:val="single" w:color="auto"/>
          <w:color w:val="auto"/>
        </w:rPr>
        <w:t>Third</w:t>
      </w:r>
      <w:r>
        <w:rPr>
          <w:rFonts w:ascii="Times New Roman" w:cs="Times New Roman" w:eastAsia="Times New Roman" w:hAnsi="Times New Roman"/>
          <w:sz w:val="19"/>
          <w:szCs w:val="19"/>
          <w:color w:val="auto"/>
        </w:rPr>
        <w:t xml:space="preserve"> payable to them;</w:t>
      </w:r>
    </w:p>
    <w:p>
      <w:pPr>
        <w:spacing w:after="0" w:line="156" w:lineRule="exact"/>
        <w:rPr>
          <w:sz w:val="20"/>
          <w:szCs w:val="20"/>
          <w:color w:val="auto"/>
        </w:rPr>
      </w:pPr>
    </w:p>
    <w:p>
      <w:pPr>
        <w:jc w:val="both"/>
        <w:ind w:left="760" w:firstLine="717"/>
        <w:spacing w:after="0" w:line="24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LC Borrowings and Obligations then owing under Secured Hedge Agreements and Treasury Service Agreements, ratably among the Lenders, the Issuing Bank, and the Approved Counterparties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80" w:lineRule="exact"/>
        <w:rPr>
          <w:sz w:val="20"/>
          <w:szCs w:val="20"/>
          <w:color w:val="auto"/>
        </w:rPr>
      </w:pPr>
    </w:p>
    <w:p>
      <w:pPr>
        <w:jc w:val="both"/>
        <w:ind w:left="760" w:right="20" w:firstLine="717"/>
        <w:spacing w:after="0" w:line="254"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Issuing Bank, to Cash Collateralize that portion of LC Exposure comprised of the aggregate undrawn amount of Letters of Credit to the extent not otherwise Cash Collateralized by the Borrower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and</w:t>
      </w:r>
    </w:p>
    <w:p>
      <w:pPr>
        <w:spacing w:after="0" w:line="174" w:lineRule="exact"/>
        <w:rPr>
          <w:sz w:val="20"/>
          <w:szCs w:val="20"/>
          <w:color w:val="auto"/>
        </w:rPr>
      </w:pPr>
    </w:p>
    <w:p>
      <w:pPr>
        <w:jc w:val="both"/>
        <w:ind w:left="760" w:right="20" w:firstLine="717"/>
        <w:spacing w:after="0" w:line="269"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indefeasibly paid in full, to the Borrower or as otherwise required by Law.</w:t>
      </w:r>
    </w:p>
    <w:p>
      <w:pPr>
        <w:spacing w:after="0" w:line="159"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2.05(a)(ii)</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0" w:lineRule="exact"/>
        <w:rPr>
          <w:sz w:val="20"/>
          <w:szCs w:val="20"/>
          <w:color w:val="auto"/>
        </w:rPr>
      </w:pPr>
    </w:p>
    <w:p>
      <w:pPr>
        <w:jc w:val="both"/>
        <w:ind w:right="20" w:firstLine="771"/>
        <w:spacing w:after="0" w:line="244"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Secured Hedge Agreements and Treasury Service Agreements shall be excluded from the application described above if the Administrative Agent has not received written notice thereof, together with such supporting documentation as the Administrative Agent may request, from the applicable Approved Counterparty. Each Approved Counterparty not a party to the Credit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hereof for itself and its Affiliates as if a “Lender” party hereto. Notwithstanding the foregoing, amounts received from any Loan Party shall not be applied to any Excluded Swap Obligation of such Loan Party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REGARDING THE ADMINISTRATIVE AGENT</w:t>
      </w:r>
    </w:p>
    <w:p>
      <w:pPr>
        <w:spacing w:after="0" w:line="194"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Each Lender and each Issuing Bank hereby irrevocably appoints Citibank, N.A. to act on its behalf as the Administrative Agent and Collateral Agent hereunder and under the other Loan Documents,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ectPr>
          <w:pgSz w:w="11900" w:h="16838" w:orient="portrait"/>
          <w:cols w:equalWidth="0" w:num="1">
            <w:col w:w="11020"/>
          </w:cols>
          <w:pgMar w:left="440" w:top="265" w:right="439" w:bottom="1440" w:gutter="0" w:footer="0" w:header="0"/>
        </w:sectPr>
      </w:pPr>
    </w:p>
    <w:bookmarkStart w:id="124" w:name="page125"/>
    <w:bookmarkEnd w:id="124"/>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designates and authorizes each of the Administrative Agent and the Collateral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Without limiting the generality of the foregoing, the Lenders and Issuing Banks hereby expressly authorize the Administrative Agent and Collateral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shall bind the Lenders and Issuing Banks. Notwithstanding any provision to the contrary contained elsewhere herein or in any other Loan Document, neither the Administrative Agent nor the Collateral Agent shall have any duties or responsibilities, except those expressly set forth herein, nor shall the Administrative Agent or the Collateral Agent have or be deemed to have any fiduciary relationship with any Lender, Issuing Bank or Participant, and no implied covenants, functions, responsibilities, duties, obligations or liabilities shall be read into this Agreement or any other Loan Document or otherwise exist against the Administrative Agent or the Collateral Agent.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94"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jc w:val="both"/>
        <w:ind w:firstLine="771"/>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Administrative Agent in good faith to be necessary under the circumstances as provided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or in the absence of its own gross negligence or willful misconduct as determined by a court of competent jurisdiction by a final and non-appealable judgment.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ectPr>
          <w:pgSz w:w="11900" w:h="16838" w:orient="portrait"/>
          <w:cols w:equalWidth="0" w:num="1">
            <w:col w:w="11020"/>
          </w:cols>
          <w:pgMar w:left="440" w:top="265" w:right="439" w:bottom="1440" w:gutter="0" w:footer="0" w:header="0"/>
        </w:sectPr>
      </w:pPr>
    </w:p>
    <w:bookmarkStart w:id="125" w:name="page126"/>
    <w:bookmarkEnd w:id="125"/>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forth in any Loan Document or the occurrence of any Default, (iv) the validity, enforceability, effectiveness or genuineness of any Loan Document or any other agreement, instrument or document, the existence of any Collateral or creation, perfection or priority of any liens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in any Loan Document, other than to confirm receipt of items expressly required to be delivered to the Administrative Agent.</w:t>
      </w:r>
    </w:p>
    <w:p>
      <w:pPr>
        <w:spacing w:after="0" w:line="180" w:lineRule="exact"/>
        <w:rPr>
          <w:sz w:val="20"/>
          <w:szCs w:val="20"/>
          <w:color w:val="auto"/>
        </w:rPr>
      </w:pPr>
    </w:p>
    <w:p>
      <w:pPr>
        <w:jc w:val="both"/>
        <w:ind w:firstLine="771"/>
        <w:spacing w:after="0" w:line="244" w:lineRule="auto"/>
        <w:rPr>
          <w:sz w:val="20"/>
          <w:szCs w:val="20"/>
          <w:color w:val="auto"/>
        </w:rPr>
      </w:pPr>
      <w:r>
        <w:rPr>
          <w:rFonts w:ascii="Times New Roman" w:cs="Times New Roman" w:eastAsia="Times New Roman" w:hAnsi="Times New Roman"/>
          <w:sz w:val="20"/>
          <w:szCs w:val="20"/>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6" w:lineRule="exact"/>
        <w:rPr>
          <w:sz w:val="20"/>
          <w:szCs w:val="20"/>
          <w:color w:val="auto"/>
        </w:rPr>
      </w:pPr>
    </w:p>
    <w:p>
      <w:pPr>
        <w:jc w:val="both"/>
        <w:ind w:firstLine="771"/>
        <w:spacing w:after="0" w:line="245" w:lineRule="auto"/>
        <w:rPr>
          <w:sz w:val="20"/>
          <w:szCs w:val="20"/>
          <w:color w:val="auto"/>
        </w:rPr>
      </w:pPr>
      <w:r>
        <w:rPr>
          <w:rFonts w:ascii="Times New Roman" w:cs="Times New Roman" w:eastAsia="Times New Roman" w:hAnsi="Times New Roman"/>
          <w:sz w:val="20"/>
          <w:szCs w:val="20"/>
          <w:color w:val="auto"/>
        </w:rPr>
        <w:t xml:space="preserve">The Administrative Agent and Collateral Agent may perform any and all its duties and exercise its rights and powers by or through any one or more sub-agents appointed by the Administrative Agent or the Collateral Agent. The Administrative Agent, the Collateral Agent and any such sub-agent may perform any and all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apply to any such sub-agent and to the Related Parties of the Administrative Agent and Collateral Agent and any such sub-agent, and shall apply to their respective activities in connection with the syndication of the credit facilities provided for herein as well as activities as the Administrative Agent and Collateral Agent.</w:t>
      </w:r>
    </w:p>
    <w:p>
      <w:pPr>
        <w:spacing w:after="0" w:line="184" w:lineRule="exact"/>
        <w:rPr>
          <w:sz w:val="20"/>
          <w:szCs w:val="20"/>
          <w:color w:val="auto"/>
        </w:rPr>
      </w:pPr>
    </w:p>
    <w:p>
      <w:pPr>
        <w:jc w:val="both"/>
        <w:ind w:firstLine="771"/>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may resign (including as Collateral Agent)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 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(except that it shall continue to hold any Liens on the Collateral for the benefit of the Secured Parties until a successor agent is appointed but shall not be required to take any other action with respect thereto)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ectPr>
          <w:pgSz w:w="11900" w:h="16838" w:orient="portrait"/>
          <w:cols w:equalWidth="0" w:num="1">
            <w:col w:w="11020"/>
          </w:cols>
          <w:pgMar w:left="440" w:top="265" w:right="439" w:bottom="1440" w:gutter="0" w:footer="0" w:header="0"/>
        </w:sectPr>
      </w:pPr>
    </w:p>
    <w:bookmarkStart w:id="126" w:name="page127"/>
    <w:bookmarkEnd w:id="126"/>
    <w:p>
      <w:pPr>
        <w:jc w:val="both"/>
        <w:ind w:left="4" w:right="2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74" w:lineRule="exact"/>
        <w:rPr>
          <w:sz w:val="20"/>
          <w:szCs w:val="20"/>
          <w:color w:val="auto"/>
        </w:rPr>
      </w:pPr>
    </w:p>
    <w:p>
      <w:pPr>
        <w:jc w:val="both"/>
        <w:ind w:left="4" w:right="20" w:firstLine="771"/>
        <w:spacing w:after="0" w:line="244" w:lineRule="auto"/>
        <w:rPr>
          <w:sz w:val="20"/>
          <w:szCs w:val="20"/>
          <w:color w:val="auto"/>
        </w:rPr>
      </w:pPr>
      <w:r>
        <w:rPr>
          <w:rFonts w:ascii="Times New Roman" w:cs="Times New Roman" w:eastAsia="Times New Roman" w:hAnsi="Times New Roman"/>
          <w:sz w:val="20"/>
          <w:szCs w:val="20"/>
          <w:color w:val="auto"/>
        </w:rPr>
        <w:t xml:space="preserve">Any resignation by Citibank, N.A. as Administrative Agent pursuant to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6" w:lineRule="exact"/>
        <w:rPr>
          <w:sz w:val="20"/>
          <w:szCs w:val="20"/>
          <w:color w:val="auto"/>
        </w:rPr>
      </w:pPr>
    </w:p>
    <w:p>
      <w:pPr>
        <w:jc w:val="both"/>
        <w:ind w:left="4" w:right="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Each of the Secured Parties (by acceptance of the benefits of the Collateral Documents) hereby irrevocably appoints and authorizes the Collateral Agent to act as the agent of (and to hold any security interest created by the Collateral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In this connection, the Collateral Agent (and any co-agents, sub-agents and attorneys-in-fact appointed by the Administrative Agent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(as though such co-agents, sub-agents and attorneys-in-fact were the Collateral Agent under the Loan Documents) as if set forth in full herein with respect thereto.</w:t>
      </w:r>
    </w:p>
    <w:p>
      <w:pPr>
        <w:spacing w:after="0" w:line="186" w:lineRule="exact"/>
        <w:rPr>
          <w:sz w:val="20"/>
          <w:szCs w:val="20"/>
          <w:color w:val="auto"/>
        </w:rPr>
      </w:pPr>
    </w:p>
    <w:p>
      <w:pPr>
        <w:jc w:val="both"/>
        <w:ind w:left="4" w:right="20" w:firstLine="771"/>
        <w:spacing w:after="0" w:line="245" w:lineRule="auto"/>
        <w:rPr>
          <w:sz w:val="20"/>
          <w:szCs w:val="20"/>
          <w:color w:val="auto"/>
        </w:rPr>
      </w:pPr>
      <w:r>
        <w:rPr>
          <w:rFonts w:ascii="Times New Roman" w:cs="Times New Roman" w:eastAsia="Times New Roman" w:hAnsi="Times New Roman"/>
          <w:sz w:val="20"/>
          <w:szCs w:val="20"/>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84"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9"/>
          <w:szCs w:val="19"/>
          <w:color w:val="auto"/>
        </w:rPr>
        <w:t>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w:t>
      </w:r>
    </w:p>
    <w:p>
      <w:pPr>
        <w:spacing w:after="0" w:line="1" w:lineRule="exact"/>
        <w:rPr>
          <w:sz w:val="20"/>
          <w:szCs w:val="20"/>
          <w:color w:val="auto"/>
        </w:rPr>
      </w:pPr>
    </w:p>
    <w:p>
      <w:pPr>
        <w:jc w:val="both"/>
        <w:ind w:left="4" w:right="20" w:hanging="4"/>
        <w:spacing w:after="0"/>
        <w:tabs>
          <w:tab w:leader="none" w:pos="28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the Collateral Agent, the Administrative Agent and each Issuing Bank (including any claim for the reasonable compensation, expenses, disbursements and advances of the Lenders, the Collateral Agent, the Administrative Agent and each Issuing Bank and their respective agents and counsel and all other amounts due the Lenders, the Collateral Agent, the Administrative Agent and each Issuing Bank under </w:t>
      </w:r>
      <w:r>
        <w:rPr>
          <w:rFonts w:ascii="Times New Roman" w:cs="Times New Roman" w:eastAsia="Times New Roman" w:hAnsi="Times New Roman"/>
          <w:sz w:val="20"/>
          <w:szCs w:val="20"/>
          <w:u w:val="single" w:color="auto"/>
          <w:color w:val="auto"/>
        </w:rPr>
        <w:t>Sections 2.05(e)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allowed in such judicial proceeding, and (b) collect and receive any monies or other property payable or deliverable on any such claims and to distribute the same; and any</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-114-</w:t>
      </w:r>
    </w:p>
    <w:p>
      <w:pPr>
        <w:sectPr>
          <w:pgSz w:w="11900" w:h="16838" w:orient="portrait"/>
          <w:cols w:equalWidth="0" w:num="1">
            <w:col w:w="11024"/>
          </w:cols>
          <w:pgMar w:left="436" w:top="265" w:right="439" w:bottom="1440" w:gutter="0" w:footer="0" w:header="0"/>
        </w:sectPr>
      </w:pPr>
    </w:p>
    <w:bookmarkStart w:id="127" w:name="page128"/>
    <w:bookmarkEnd w:id="127"/>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custodian, receiver, assignee, trustee, liquidator, sequestrator or other similar official in any such judicial proceeding is hereby authorized by each Lender and each Issuing Bank to make such payments to the Administrative Agent or the Collateral Agent and, if the Administrative Agent shall consent to the making of such payments directly to the Lenders and the applicable Issuing Bank, to pay to the Administrative Agent or the Collateral Agent any amount due for the reasonable compensation, expenses, disbursements and advances of the Administrative Agent and its agents and counsel, and any other amounts due the Administrative Agent or the Collateral Agent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right="20" w:firstLine="771"/>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w:t>
      </w:r>
    </w:p>
    <w:p>
      <w:pPr>
        <w:spacing w:after="0" w:line="180" w:lineRule="exact"/>
        <w:rPr>
          <w:sz w:val="20"/>
          <w:szCs w:val="20"/>
          <w:color w:val="auto"/>
        </w:rPr>
      </w:pPr>
    </w:p>
    <w:p>
      <w:pPr>
        <w:jc w:val="both"/>
        <w:ind w:firstLine="771"/>
        <w:spacing w:after="0"/>
        <w:rPr>
          <w:sz w:val="20"/>
          <w:szCs w:val="20"/>
          <w:color w:val="auto"/>
        </w:rPr>
      </w:pPr>
      <w:r>
        <w:rPr>
          <w:rFonts w:ascii="Times New Roman" w:cs="Times New Roman" w:eastAsia="Times New Roman" w:hAnsi="Times New Roman"/>
          <w:sz w:val="20"/>
          <w:szCs w:val="20"/>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and (iii) to the extent that Obligations that are assigned to an acquisition vehicle are not used to acquire Collateral for any reason (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5" w:lineRule="exact"/>
        <w:rPr>
          <w:sz w:val="20"/>
          <w:szCs w:val="20"/>
          <w:color w:val="auto"/>
        </w:rPr>
      </w:pPr>
    </w:p>
    <w:p>
      <w:pPr>
        <w:jc w:val="both"/>
        <w:ind w:firstLine="771"/>
        <w:spacing w:after="0" w:line="249" w:lineRule="auto"/>
        <w:rPr>
          <w:sz w:val="20"/>
          <w:szCs w:val="20"/>
          <w:color w:val="auto"/>
        </w:rPr>
      </w:pPr>
      <w:r>
        <w:rPr>
          <w:rFonts w:ascii="Times New Roman" w:cs="Times New Roman" w:eastAsia="Times New Roman" w:hAnsi="Times New Roman"/>
          <w:sz w:val="20"/>
          <w:szCs w:val="20"/>
          <w:color w:val="auto"/>
        </w:rPr>
        <w:t>To the extent required by any applicable Requirements of Law (as determined in the good faith discretion of the Administrative Agent),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020"/>
          </w:cols>
          <w:pgMar w:left="440" w:top="265" w:right="439" w:bottom="1440" w:gutter="0" w:footer="0" w:header="0"/>
        </w:sectPr>
      </w:pPr>
    </w:p>
    <w:bookmarkStart w:id="128" w:name="page129"/>
    <w:bookmarkEnd w:id="128"/>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spacing w:after="0" w:line="197" w:lineRule="exact"/>
        <w:rPr>
          <w:sz w:val="20"/>
          <w:szCs w:val="20"/>
          <w:color w:val="auto"/>
        </w:rPr>
      </w:pPr>
    </w:p>
    <w:p>
      <w:pPr>
        <w:jc w:val="both"/>
        <w:ind w:right="20" w:firstLine="771"/>
        <w:spacing w:after="0" w:line="243" w:lineRule="auto"/>
        <w:rPr>
          <w:sz w:val="20"/>
          <w:szCs w:val="20"/>
          <w:color w:val="auto"/>
        </w:rPr>
      </w:pPr>
      <w:r>
        <w:rPr>
          <w:rFonts w:ascii="Times New Roman" w:cs="Times New Roman" w:eastAsia="Times New Roman" w:hAnsi="Times New Roman"/>
          <w:sz w:val="20"/>
          <w:szCs w:val="20"/>
          <w:color w:val="auto"/>
        </w:rPr>
        <w:t>No Approved Counterparty that obtains the benefits of the Guaranty or any Collateral by virtue of the provisions hereof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any Loan Document to the contrary, the Administrative Agent and Collateral Agent shall not be deemed to have knowledge of the existence of any Treasury Services Agreement or Secured Hedge Agreement unless the Administrative Agent and Collateral Agent have received written notice thereof, together with such supporting documentation as the Administrative Agent and Collateral Agent may request, from the applicable Approved Counterparty.</w:t>
      </w:r>
    </w:p>
    <w:p>
      <w:pPr>
        <w:spacing w:after="0" w:line="189" w:lineRule="exact"/>
        <w:rPr>
          <w:sz w:val="20"/>
          <w:szCs w:val="20"/>
          <w:color w:val="auto"/>
        </w:rPr>
      </w:pPr>
    </w:p>
    <w:p>
      <w:pPr>
        <w:jc w:val="both"/>
        <w:ind w:right="20" w:firstLine="771"/>
        <w:spacing w:after="0" w:line="274" w:lineRule="auto"/>
        <w:rPr>
          <w:sz w:val="20"/>
          <w:szCs w:val="20"/>
          <w:color w:val="auto"/>
        </w:rPr>
      </w:pPr>
      <w:r>
        <w:rPr>
          <w:rFonts w:ascii="Times New Roman" w:cs="Times New Roman" w:eastAsia="Times New Roman" w:hAnsi="Times New Roman"/>
          <w:sz w:val="19"/>
          <w:szCs w:val="19"/>
          <w:color w:val="auto"/>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Collateral Agent, a Lender or an Issuing Bank hereunder.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194" w:lineRule="exact"/>
        <w:rPr>
          <w:sz w:val="20"/>
          <w:szCs w:val="20"/>
          <w:color w:val="auto"/>
        </w:rPr>
      </w:pPr>
    </w:p>
    <w:p>
      <w:pPr>
        <w:jc w:val="both"/>
        <w:ind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spacing w:after="0" w:line="180" w:lineRule="exact"/>
        <w:rPr>
          <w:sz w:val="20"/>
          <w:szCs w:val="20"/>
          <w:color w:val="auto"/>
        </w:rPr>
      </w:pPr>
    </w:p>
    <w:p>
      <w:pPr>
        <w:ind w:left="760" w:right="20" w:firstLine="724"/>
        <w:spacing w:after="0" w:line="269" w:lineRule="auto"/>
        <w:tabs>
          <w:tab w:leader="none" w:pos="1767"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Borrower, to it at Tradeweb Markets LLC 1177 Avenue of the Americas, New York, New York, 10036, Attention of Douglas Friedman, douglas.friedman@tradeweb.com;</w:t>
      </w:r>
    </w:p>
    <w:p>
      <w:pPr>
        <w:spacing w:after="0" w:line="159"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Administrative Agent, to the Administrative Agent’s Office;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ectPr>
          <w:pgSz w:w="11900" w:h="16838" w:orient="portrait"/>
          <w:cols w:equalWidth="0" w:num="1">
            <w:col w:w="11020"/>
          </w:cols>
          <w:pgMar w:left="440" w:top="265" w:right="439" w:bottom="1440" w:gutter="0" w:footer="0" w:header="0"/>
        </w:sectPr>
      </w:pPr>
    </w:p>
    <w:bookmarkStart w:id="129" w:name="page130"/>
    <w:bookmarkEnd w:id="129"/>
    <w:p>
      <w:pPr>
        <w:ind w:left="760" w:right="20" w:firstLine="724"/>
        <w:spacing w:after="0" w:line="269" w:lineRule="auto"/>
        <w:tabs>
          <w:tab w:leader="none" w:pos="174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an Issuing Bank other than the Administrative Agent, to it at the address or telecopy number set forth separately in writing; and</w:t>
      </w:r>
    </w:p>
    <w:p>
      <w:pPr>
        <w:spacing w:after="0" w:line="159"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it at its address (or telecopy number) set forth in its Administrative Questionnaire.</w:t>
      </w:r>
    </w:p>
    <w:p>
      <w:pPr>
        <w:spacing w:after="0" w:line="216"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foregoing shall not apply to notices to any Lender or Issuing Bank pursuant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if such Lender or Issuing Bank,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as applicable, has notified the Administrative Agent that it is incapable of receiving notices under such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by electronic communication. The Administrative Agent and the Borrower agree to accept notices and other communications to it hereunder by electronic communications. All notices and other communications given to any party hereto in accordance with the provisions of this Agreement shall be deemed to have been given on the date of receipt.</w:t>
      </w:r>
    </w:p>
    <w:p>
      <w:pPr>
        <w:spacing w:after="0" w:line="186" w:lineRule="exact"/>
        <w:rPr>
          <w:sz w:val="20"/>
          <w:szCs w:val="20"/>
          <w:color w:val="auto"/>
        </w:rPr>
      </w:pPr>
    </w:p>
    <w:p>
      <w:pPr>
        <w:jc w:val="both"/>
        <w:ind w:firstLine="771"/>
        <w:spacing w:after="0" w:line="255" w:lineRule="auto"/>
        <w:rPr>
          <w:sz w:val="20"/>
          <w:szCs w:val="20"/>
          <w:color w:val="auto"/>
        </w:rPr>
      </w:pPr>
      <w:r>
        <w:rPr>
          <w:rFonts w:ascii="Times New Roman" w:cs="Times New Roman" w:eastAsia="Times New Roman" w:hAnsi="Times New Roman"/>
          <w:sz w:val="19"/>
          <w:szCs w:val="19"/>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9"/>
          <w:szCs w:val="19"/>
          <w:u w:val="single" w:color="auto"/>
          <w:color w:val="auto"/>
        </w:rPr>
        <w:t>Agent Parties</w:t>
      </w:r>
      <w:r>
        <w:rPr>
          <w:rFonts w:ascii="Times New Roman" w:cs="Times New Roman" w:eastAsia="Times New Roman" w:hAnsi="Times New Roman"/>
          <w:sz w:val="19"/>
          <w:szCs w:val="19"/>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however</w:t>
      </w:r>
      <w:r>
        <w:rPr>
          <w:rFonts w:ascii="Times New Roman" w:cs="Times New Roman" w:eastAsia="Times New Roman" w:hAnsi="Times New Roman"/>
          <w:sz w:val="19"/>
          <w:szCs w:val="19"/>
          <w:color w:val="auto"/>
        </w:rPr>
        <w:t>, that in no event shall any Agent Party have any liability to the Borrower, any Lender, any Issuing Bank or any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Person for indirect, special, incidental, consequential or punitive damages (as opposed to direct or actual damages).</w:t>
      </w:r>
    </w:p>
    <w:p>
      <w:pPr>
        <w:spacing w:after="0" w:line="17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Waivers; Amendments.</w:t>
      </w:r>
    </w:p>
    <w:p>
      <w:pPr>
        <w:spacing w:after="0" w:line="216" w:lineRule="exact"/>
        <w:rPr>
          <w:sz w:val="20"/>
          <w:szCs w:val="20"/>
          <w:color w:val="auto"/>
        </w:rPr>
      </w:pPr>
    </w:p>
    <w:p>
      <w:pPr>
        <w:jc w:val="both"/>
        <w:ind w:right="20" w:firstLine="767"/>
        <w:spacing w:after="0" w:line="244" w:lineRule="auto"/>
        <w:tabs>
          <w:tab w:leader="none" w:pos="104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then such waiver or consent shall be effective only in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ectPr>
          <w:pgSz w:w="11900" w:h="16838" w:orient="portrait"/>
          <w:cols w:equalWidth="0" w:num="1">
            <w:col w:w="11020"/>
          </w:cols>
          <w:pgMar w:left="440" w:top="265" w:right="439" w:bottom="1440" w:gutter="0" w:footer="0" w:header="0"/>
        </w:sectPr>
      </w:pPr>
    </w:p>
    <w:bookmarkStart w:id="130" w:name="page131"/>
    <w:bookmarkEnd w:id="130"/>
    <w:p>
      <w:pPr>
        <w:jc w:val="both"/>
        <w:ind w:left="4"/>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spacing w:after="0" w:line="180" w:lineRule="exact"/>
        <w:rPr>
          <w:sz w:val="20"/>
          <w:szCs w:val="20"/>
          <w:color w:val="auto"/>
        </w:rPr>
      </w:pPr>
    </w:p>
    <w:p>
      <w:pPr>
        <w:jc w:val="both"/>
        <w:ind w:left="4" w:firstLine="767"/>
        <w:spacing w:after="0" w:line="254" w:lineRule="auto"/>
        <w:tabs>
          <w:tab w:leader="none" w:pos="1066" w:val="left"/>
        </w:tabs>
        <w:numPr>
          <w:ilvl w:val="1"/>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with respect to any Incremental Facility Amendment </w:t>
      </w:r>
      <w:r>
        <w:rPr>
          <w:rFonts w:ascii="Times New Roman" w:cs="Times New Roman" w:eastAsia="Times New Roman" w:hAnsi="Times New Roman"/>
          <w:sz w:val="19"/>
          <w:szCs w:val="19"/>
          <w:color w:val="FF0000"/>
        </w:rPr>
        <w:t>or the definition of “Eurocurrency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Rate” with respect to any Eurocurrency Successor Rate</w:t>
      </w:r>
      <w:r>
        <w:rPr>
          <w:rFonts w:ascii="Times New Roman" w:cs="Times New Roman" w:eastAsia="Times New Roman" w:hAnsi="Times New Roman"/>
          <w:sz w:val="19"/>
          <w:szCs w:val="19"/>
          <w:color w:val="000000"/>
        </w:rPr>
        <w:t>, neither any Loan Document nor any provision thereof may be waived, amended</w:t>
      </w:r>
      <w:r>
        <w:rPr>
          <w:rFonts w:ascii="Times New Roman" w:cs="Times New Roman" w:eastAsia="Times New Roman" w:hAnsi="Times New Roman"/>
          <w:sz w:val="19"/>
          <w:szCs w:val="19"/>
          <w:color w:val="FF0000"/>
        </w:rPr>
        <w:t xml:space="preserve"> </w:t>
      </w:r>
      <w:r>
        <w:rPr>
          <w:rFonts w:ascii="Times New Roman" w:cs="Times New Roman" w:eastAsia="Times New Roman" w:hAnsi="Times New Roman"/>
          <w:sz w:val="19"/>
          <w:szCs w:val="19"/>
          <w:color w:val="000000"/>
        </w:rPr>
        <w:t xml:space="preserve">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Times New Roman" w:cs="Times New Roman" w:eastAsia="Times New Roman" w:hAnsi="Times New Roman"/>
          <w:sz w:val="19"/>
          <w:szCs w:val="19"/>
          <w:i w:val="1"/>
          <w:iCs w:val="1"/>
          <w:color w:val="000000"/>
        </w:rPr>
        <w:t>provided</w:t>
      </w:r>
      <w:r>
        <w:rPr>
          <w:rFonts w:ascii="Times New Roman" w:cs="Times New Roman" w:eastAsia="Times New Roman" w:hAnsi="Times New Roman"/>
          <w:sz w:val="19"/>
          <w:szCs w:val="19"/>
          <w:color w:val="000000"/>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or obligations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Revolving Commitment of any Lender without the written consent of such Lender, (B) reduce the principal amount of any Loan, LC Disbursement or LC Advance or reduce the rate of interest thereon, or reduce any fees payable hereunder, without the written consent of each Lender affected thereby,</w:t>
      </w:r>
    </w:p>
    <w:p>
      <w:pPr>
        <w:spacing w:after="0" w:line="1" w:lineRule="exact"/>
        <w:rPr>
          <w:rFonts w:ascii="Times New Roman" w:cs="Times New Roman" w:eastAsia="Times New Roman" w:hAnsi="Times New Roman"/>
          <w:sz w:val="19"/>
          <w:szCs w:val="19"/>
          <w:color w:val="auto"/>
        </w:rPr>
      </w:pPr>
    </w:p>
    <w:p>
      <w:pPr>
        <w:jc w:val="both"/>
        <w:ind w:left="4" w:hanging="4"/>
        <w:spacing w:after="0" w:line="253" w:lineRule="auto"/>
        <w:tabs>
          <w:tab w:leader="none" w:pos="319" w:val="left"/>
        </w:tabs>
        <w:numPr>
          <w:ilvl w:val="0"/>
          <w:numId w:val="1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or under the Collateral Documents shall be applied as among the Lenders or change </w:t>
      </w:r>
      <w:r>
        <w:rPr>
          <w:rFonts w:ascii="Times New Roman" w:cs="Times New Roman" w:eastAsia="Times New Roman" w:hAnsi="Times New Roman"/>
          <w:sz w:val="19"/>
          <w:szCs w:val="19"/>
          <w:u w:val="single" w:color="auto"/>
          <w:color w:val="auto"/>
        </w:rPr>
        <w:t>Section 2.16(b)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7.03</w:t>
      </w:r>
      <w:r>
        <w:rPr>
          <w:rFonts w:ascii="Times New Roman" w:cs="Times New Roman" w:eastAsia="Times New Roman" w:hAnsi="Times New Roman"/>
          <w:sz w:val="19"/>
          <w:szCs w:val="19"/>
          <w:color w:val="auto"/>
        </w:rPr>
        <w:t xml:space="preserve"> in a manner that would alter the pro rata sharing of payments required thereby, in each case without the written consent of each Lender adversely affected thereby, (E) change any of the provisions of this Section,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or the definition of “Required Lenders” or any other provision of any Loan Document specifying the number or percentage of Lenders required to waive, amend or modify any rights thereunder or make any determination or grant any consent thereunder, without the written consent of each Lender (it being understood that, other than pursuant to any Incremental Facility Amendment (the consent requirements for which are set forth in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with the consent of the Required Lenders, additional extensions of credit pursuant to this Agreement may be included in the determination of the Required Lenders on substantially the same basis as the Revolving Commitments on the date hereof) or (F) release all or substantially all of the Collateral in any transaction or series of related transactions or all or substantially all of the aggregate value of the Guaranty (in each case, other than in connection with a transaction permitted under this Agreement), in each case, without the written consent of each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no such agreement shall amend, modify or otherwise affect the rights or duties of the Administrative Agent, the Collateral Agent, any Issuing Bank, the Swing Line Lender, any Arranger, any Joint Bookrunning Manager, any Syndication Agent or any Documentation Agent without the prior written consent of the Administrative Agent, such Issuing Bank, such Arranger, such Joint Bookrunning Manager, such Syndication Agent or such Documentation Agent, as the case may be. Notwithstanding the foregoing, upon the election of the Borrower to switch from GAAP to IFRS, this Agreement may be amended (or amended and restated) with only the written consent of the Administrative Agent and the Borrower (and not any other Lender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5196205</wp:posOffset>
            </wp:positionH>
            <wp:positionV relativeFrom="paragraph">
              <wp:posOffset>-4457700</wp:posOffset>
            </wp:positionV>
            <wp:extent cx="1790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-118-</w:t>
      </w:r>
    </w:p>
    <w:p>
      <w:pPr>
        <w:sectPr>
          <w:pgSz w:w="11900" w:h="16838" w:orient="portrait"/>
          <w:cols w:equalWidth="0" w:num="1">
            <w:col w:w="11024"/>
          </w:cols>
          <w:pgMar w:left="436" w:top="265" w:right="439" w:bottom="1440" w:gutter="0" w:footer="0" w:header="0"/>
        </w:sectPr>
      </w:pPr>
    </w:p>
    <w:bookmarkStart w:id="131" w:name="page132"/>
    <w:bookmarkEnd w:id="131"/>
    <w:p>
      <w:pPr>
        <w:ind w:right="20"/>
        <w:spacing w:after="0" w:line="27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Required Lenders) to eliminate any changes to the meaning of this Agreement as a result of such election;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 shall not be adverse to the Lenders in any material respect.</w:t>
      </w:r>
    </w:p>
    <w:p>
      <w:pPr>
        <w:spacing w:after="0" w:line="156" w:lineRule="exact"/>
        <w:rPr>
          <w:sz w:val="20"/>
          <w:szCs w:val="20"/>
          <w:color w:val="auto"/>
        </w:rPr>
      </w:pPr>
    </w:p>
    <w:p>
      <w:pPr>
        <w:jc w:val="both"/>
        <w:ind w:firstLine="767"/>
        <w:spacing w:after="0" w:line="241" w:lineRule="auto"/>
        <w:tabs>
          <w:tab w:leader="none" w:pos="1075"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proposed amendment, modification, waiver or termination (a “</w:t>
      </w:r>
      <w:r>
        <w:rPr>
          <w:rFonts w:ascii="Times New Roman" w:cs="Times New Roman" w:eastAsia="Times New Roman" w:hAnsi="Times New Roman"/>
          <w:sz w:val="20"/>
          <w:szCs w:val="20"/>
          <w:u w:val="single" w:color="auto"/>
          <w:color w:val="auto"/>
        </w:rPr>
        <w:t>Proposed Change</w:t>
      </w:r>
      <w:r>
        <w:rPr>
          <w:rFonts w:ascii="Times New Roman" w:cs="Times New Roman" w:eastAsia="Times New Roman" w:hAnsi="Times New Roman"/>
          <w:sz w:val="20"/>
          <w:szCs w:val="20"/>
          <w:color w:val="auto"/>
        </w:rPr>
        <w:t xml:space="preserve">”)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being referred to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the Borrower shall have received the prior written consent of the Administrative Agent and the Issuing Banks, which consent shall not unreasonably be withheld, (ii) 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(iii) the Borrower or such assignee shall have paid to the Administrative Agent the processing and recordation fee specified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9.03 </w:t>
      </w:r>
      <w:r>
        <w:rPr>
          <w:rFonts w:ascii="Times New Roman" w:cs="Times New Roman" w:eastAsia="Times New Roman" w:hAnsi="Times New Roman"/>
          <w:sz w:val="20"/>
          <w:szCs w:val="20"/>
          <w:u w:val="single" w:color="auto"/>
          <w:color w:val="auto"/>
        </w:rPr>
        <w:t>Expenses; Indemnity; Damage Waiver.</w:t>
      </w:r>
    </w:p>
    <w:p>
      <w:pPr>
        <w:spacing w:after="0" w:line="216" w:lineRule="exact"/>
        <w:rPr>
          <w:sz w:val="20"/>
          <w:szCs w:val="20"/>
          <w:color w:val="auto"/>
        </w:rPr>
      </w:pPr>
    </w:p>
    <w:p>
      <w:pPr>
        <w:jc w:val="both"/>
        <w:ind w:firstLine="767"/>
        <w:spacing w:after="0" w:line="241" w:lineRule="auto"/>
        <w:tabs>
          <w:tab w:leader="none" w:pos="1072"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Closing Date occurs, the Borrower shall pay (i) all reasonable and documented out-of-pocket costs and expenses incurred by the Administrative Agent, the Collateral Agent, the Arrangers and their respective Affiliates (in the case of legal fees, limited to the reasonable fees, charges and disbursements of a single counsel for the Administrative Agent, the Collateral Agent, the Arrangers and their respective Affiliates), in connection with the syndication of the credit facilities provided for herein, (ii) all reasonable and documented out-of-pocket costs and expenses incurred by the Administrative Agent and its Affiliates (in the case of legal fees, limited to the reasonable fees, charges and disbursements of a single counsel for the Administrative Agent and its Affiliates and, if reasonably necessary, of a single local counsel to the Administrative Agent and its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or any Lender (in the case of legal fees, limited to the reasonable and documented fees, charges and disbursements of a single primary counsel for the Administrative Agent, the Issuing Banks and the Lenders, along with such specialist counsel as may reasonably be required by the Administrative Agent, the Issuing Banks or the Required Lenders, and of a single firm of local counsel in each material jurisdiction (and, in the event of a conflict of interest (as reasonably determined by the applicable Administrative Agent, Issuing Bank or Lender), one additional firm of counsel to each group of similarly affected parties)),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ectPr>
          <w:pgSz w:w="11900" w:h="16838" w:orient="portrait"/>
          <w:cols w:equalWidth="0" w:num="1">
            <w:col w:w="11020"/>
          </w:cols>
          <w:pgMar w:left="440" w:top="261" w:right="439" w:bottom="1440" w:gutter="0" w:footer="0" w:header="0"/>
        </w:sectPr>
      </w:pPr>
    </w:p>
    <w:bookmarkStart w:id="132" w:name="page133"/>
    <w:bookmarkEnd w:id="132"/>
    <w:p>
      <w:pPr>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Credit. For the avoidance of doubt, this </w:t>
      </w:r>
      <w:r>
        <w:rPr>
          <w:rFonts w:ascii="Times New Roman" w:cs="Times New Roman" w:eastAsia="Times New Roman" w:hAnsi="Times New Roman"/>
          <w:sz w:val="20"/>
          <w:szCs w:val="20"/>
          <w:u w:val="single" w:color="auto"/>
          <w:color w:val="auto"/>
        </w:rPr>
        <w:t>Section 9.03(a)</w:t>
      </w:r>
      <w:r>
        <w:rPr>
          <w:rFonts w:ascii="Times New Roman" w:cs="Times New Roman" w:eastAsia="Times New Roman" w:hAnsi="Times New Roman"/>
          <w:sz w:val="20"/>
          <w:szCs w:val="20"/>
          <w:color w:val="auto"/>
        </w:rPr>
        <w:t xml:space="preserve"> shall not apply to any Taxes other than Taxes that are costs or expenses associated with a non-Tax cost or expense (e.g. sales Tax).</w:t>
      </w:r>
    </w:p>
    <w:p>
      <w:pPr>
        <w:spacing w:after="0" w:line="159" w:lineRule="exact"/>
        <w:rPr>
          <w:sz w:val="20"/>
          <w:szCs w:val="20"/>
          <w:color w:val="auto"/>
        </w:rPr>
      </w:pPr>
    </w:p>
    <w:p>
      <w:pPr>
        <w:jc w:val="both"/>
        <w:ind w:firstLine="767"/>
        <w:spacing w:after="0"/>
        <w:tabs>
          <w:tab w:leader="none" w:pos="105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and hold harmless the Administrative Agent, the Collateral Agent, the Issuing Banks and each Lender, each Arranger, each Joint Bookrunning Manager, each Syndication Agent, each Documentation Agent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relevant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(iv) the arrangement or syndication of the credit facilities provided for herein and any actions or transactions related thereto or (v) 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expenses (x) are determined by a court of competent jurisdiction by final and non-appealable judgment to have resulted from the gross negligence or willful misconduct of such Indemnitee or any of its Related Indemnified Persons (as defined below) or (y) arise from any dispute solely among Indemnitees other than any claims against any Arranger or the Administrative Agent in fulfilling its role as an agent or arranger or any similar role under the Revolving Facility and other than any claims arising out of any act or omission on the part of the Borrower or any of its Related Parties. For the avoidance of doubt,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not apply to Taxes, other than any Taxes that represent losses, claims, damages, liabilities, etc. arising from any non-Tax claim. “</w:t>
      </w:r>
      <w:r>
        <w:rPr>
          <w:rFonts w:ascii="Times New Roman" w:cs="Times New Roman" w:eastAsia="Times New Roman" w:hAnsi="Times New Roman"/>
          <w:sz w:val="20"/>
          <w:szCs w:val="20"/>
          <w:u w:val="single" w:color="auto"/>
          <w:color w:val="auto"/>
        </w:rPr>
        <w:t>Related Indemnified Person</w:t>
      </w:r>
      <w:r>
        <w:rPr>
          <w:rFonts w:ascii="Times New Roman" w:cs="Times New Roman" w:eastAsia="Times New Roman" w:hAnsi="Times New Roman"/>
          <w:sz w:val="20"/>
          <w:szCs w:val="20"/>
          <w:color w:val="auto"/>
        </w:rPr>
        <w:t xml:space="preserve">” of an Indemnitee means (1) any controlling Person or controlled Affiliate of such Indemnitee, (2) the respective directors, officers or employees of such Indemnitee and (3) the respective agents of such Indemnitee or any of its controlling persons or controlled affiliates, in the case of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acting on behalf of, or at the express instructions of, such Indemnitee.</w:t>
      </w:r>
    </w:p>
    <w:p>
      <w:pPr>
        <w:spacing w:after="0" w:line="202" w:lineRule="exact"/>
        <w:rPr>
          <w:rFonts w:ascii="Times New Roman" w:cs="Times New Roman" w:eastAsia="Times New Roman" w:hAnsi="Times New Roman"/>
          <w:sz w:val="20"/>
          <w:szCs w:val="20"/>
          <w:color w:val="auto"/>
        </w:rPr>
      </w:pPr>
    </w:p>
    <w:p>
      <w:pPr>
        <w:jc w:val="both"/>
        <w:ind w:firstLine="767"/>
        <w:spacing w:after="0" w:line="244" w:lineRule="auto"/>
        <w:tabs>
          <w:tab w:leader="none" w:pos="105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Borrower fails to pay any amount required to be paid by it to the Administrative Agent or an Issuing Bank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ectPr>
          <w:pgSz w:w="11900" w:h="16838" w:orient="portrait"/>
          <w:cols w:equalWidth="0" w:num="1">
            <w:col w:w="11020"/>
          </w:cols>
          <w:pgMar w:left="440" w:top="265" w:right="439" w:bottom="1440" w:gutter="0" w:footer="0" w:header="0"/>
        </w:sectPr>
      </w:pPr>
    </w:p>
    <w:bookmarkStart w:id="133" w:name="page134"/>
    <w:bookmarkEnd w:id="133"/>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determined based upon its share of the aggregate Revolving Exposures and unused Commitments at the time such indemnity or reimbursement is sought;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purposes of indemnifying an Issuing Bank hereunder a Lender’s “pro rata share” will be based on the proportionate amount of the aggregate Revolving Exposure. The obligations of the Lenders under this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are subject to the second sentence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(which shall apply </w:t>
      </w:r>
      <w:r>
        <w:rPr>
          <w:rFonts w:ascii="Times New Roman" w:cs="Times New Roman" w:eastAsia="Times New Roman" w:hAnsi="Times New Roman"/>
          <w:sz w:val="20"/>
          <w:szCs w:val="20"/>
          <w:u w:val="single" w:color="auto"/>
          <w:color w:val="auto"/>
        </w:rPr>
        <w:t>mutatis mutandis</w:t>
      </w:r>
      <w:r>
        <w:rPr>
          <w:rFonts w:ascii="Times New Roman" w:cs="Times New Roman" w:eastAsia="Times New Roman" w:hAnsi="Times New Roman"/>
          <w:sz w:val="20"/>
          <w:szCs w:val="20"/>
          <w:color w:val="auto"/>
        </w:rPr>
        <w:t xml:space="preserve"> to the Lenders’ obligations under this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67"/>
        <w:spacing w:after="0" w:line="245" w:lineRule="auto"/>
        <w:tabs>
          <w:tab w:leader="none" w:pos="1058"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each Loan Party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the Loan Parties’ indemnification obligations set forth above, and nor shall any of its Related Parties have any responsibility or liability for special, indirect, consequential or punitive damages.</w:t>
      </w:r>
    </w:p>
    <w:p>
      <w:pPr>
        <w:spacing w:after="0" w:line="184" w:lineRule="exact"/>
        <w:rPr>
          <w:rFonts w:ascii="Times New Roman" w:cs="Times New Roman" w:eastAsia="Times New Roman" w:hAnsi="Times New Roman"/>
          <w:sz w:val="20"/>
          <w:szCs w:val="20"/>
          <w:color w:val="auto"/>
        </w:rPr>
      </w:pPr>
    </w:p>
    <w:p>
      <w:pPr>
        <w:ind w:firstLine="767"/>
        <w:spacing w:after="0" w:line="269" w:lineRule="auto"/>
        <w:tabs>
          <w:tab w:leader="none" w:pos="1059"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due under this Section shall be payable not later than 30 days (or, if an Event of Default has occurred and is continuing, ten Business Days) after written demand therefor or, if later, by the due date specified in any invoice relating thereto.</w:t>
      </w:r>
    </w:p>
    <w:p>
      <w:pPr>
        <w:spacing w:after="0" w:line="15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Successors and Assigns.</w:t>
      </w:r>
    </w:p>
    <w:p>
      <w:pPr>
        <w:spacing w:after="0" w:line="216" w:lineRule="exact"/>
        <w:rPr>
          <w:sz w:val="20"/>
          <w:szCs w:val="20"/>
          <w:color w:val="auto"/>
        </w:rPr>
      </w:pPr>
    </w:p>
    <w:p>
      <w:pPr>
        <w:jc w:val="both"/>
        <w:ind w:firstLine="767"/>
        <w:spacing w:after="0" w:line="243" w:lineRule="auto"/>
        <w:tabs>
          <w:tab w:leader="none" w:pos="106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89" w:lineRule="exact"/>
        <w:rPr>
          <w:rFonts w:ascii="Times New Roman" w:cs="Times New Roman" w:eastAsia="Times New Roman" w:hAnsi="Times New Roman"/>
          <w:sz w:val="20"/>
          <w:szCs w:val="20"/>
          <w:color w:val="auto"/>
        </w:rPr>
      </w:pPr>
    </w:p>
    <w:p>
      <w:pPr>
        <w:jc w:val="both"/>
        <w:ind w:firstLine="767"/>
        <w:spacing w:after="0" w:line="243" w:lineRule="auto"/>
        <w:tabs>
          <w:tab w:leader="none" w:pos="1054"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paragraphs (b)(ii)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(c)(iii)</w:t>
      </w:r>
      <w:r>
        <w:rPr>
          <w:rFonts w:ascii="Times New Roman" w:cs="Times New Roman" w:eastAsia="Times New Roman" w:hAnsi="Times New Roman"/>
          <w:sz w:val="20"/>
          <w:szCs w:val="20"/>
          <w:color w:val="auto"/>
        </w:rPr>
        <w:t xml:space="preserve"> below, any Lender may assign to one or more assignees (other than a natural person, Disqualified Lender or Defaulting Lender, the Borrower or any of its Affiliates)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Borrower shall be required if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has occurred and is continuing;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the Borrower shall be deemed to have consented to an assignment if the Borrower does not object within ten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Business Days of receipt of a request therefor, (B) the Administrative Agent, not to be unreasonably withheld or delayed, and (C) each Issuing Bank, and the Swing Line Lender, not to be unreasonably withheld or delayed.</w:t>
      </w:r>
    </w:p>
    <w:p>
      <w:pPr>
        <w:spacing w:after="0" w:line="189" w:lineRule="exact"/>
        <w:rPr>
          <w:sz w:val="20"/>
          <w:szCs w:val="20"/>
          <w:color w:val="auto"/>
        </w:rPr>
      </w:pPr>
    </w:p>
    <w:p>
      <w:pPr>
        <w:jc w:val="both"/>
        <w:ind w:left="1100" w:firstLine="493"/>
        <w:spacing w:after="0" w:line="254" w:lineRule="auto"/>
        <w:tabs>
          <w:tab w:leader="none" w:pos="189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 (A) except in the case of an assignment of the entire remaining amount of the assigning Lender’s Revolving Commitment or Revolving Loans, the amount of the Revolving Commitment or Revolving Loans of the assigning Lender subject to each such</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ectPr>
          <w:pgSz w:w="11900" w:h="16838" w:orient="portrait"/>
          <w:cols w:equalWidth="0" w:num="1">
            <w:col w:w="11020"/>
          </w:cols>
          <w:pgMar w:left="440" w:top="265" w:right="439" w:bottom="1440" w:gutter="0" w:footer="0" w:header="0"/>
        </w:sectPr>
      </w:pPr>
    </w:p>
    <w:bookmarkStart w:id="134" w:name="page135"/>
    <w:bookmarkEnd w:id="134"/>
    <w:p>
      <w:pPr>
        <w:jc w:val="both"/>
        <w:ind w:left="100"/>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$2,500,000 unless the Borrower and the Administrative Agent otherwise consent (such consent not to be unreasonably withheld or delayed);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no such consent of the Borrower shall be required if an Event of Default under </w:t>
      </w:r>
      <w:r>
        <w:rPr>
          <w:rFonts w:ascii="Times New Roman" w:cs="Times New Roman" w:eastAsia="Times New Roman" w:hAnsi="Times New Roman"/>
          <w:sz w:val="19"/>
          <w:szCs w:val="19"/>
          <w:u w:val="single" w:color="auto"/>
          <w:color w:val="auto"/>
        </w:rPr>
        <w:t>Section 7.01(a)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assignments made pursuant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shall not require the signature of the assigning Lender to become effective, and (D) the assignee, if it shall not be a Lender, shall deliver to the Administrative Agent an Administrative Questionnaire and any tax forms required by </w:t>
      </w:r>
      <w:r>
        <w:rPr>
          <w:rFonts w:ascii="Times New Roman" w:cs="Times New Roman" w:eastAsia="Times New Roman" w:hAnsi="Times New Roman"/>
          <w:sz w:val="19"/>
          <w:szCs w:val="19"/>
          <w:u w:val="single" w:color="auto"/>
          <w:color w:val="auto"/>
        </w:rPr>
        <w:t>Section 2.15(e)</w:t>
      </w:r>
      <w:r>
        <w:rPr>
          <w:rFonts w:ascii="Times New Roman" w:cs="Times New Roman" w:eastAsia="Times New Roman" w:hAnsi="Times New Roman"/>
          <w:sz w:val="19"/>
          <w:szCs w:val="19"/>
          <w:color w:val="auto"/>
        </w:rPr>
        <w:t>.</w:t>
      </w:r>
    </w:p>
    <w:p>
      <w:pPr>
        <w:spacing w:after="0" w:line="174" w:lineRule="exact"/>
        <w:rPr>
          <w:sz w:val="20"/>
          <w:szCs w:val="20"/>
          <w:color w:val="auto"/>
        </w:rPr>
      </w:pPr>
    </w:p>
    <w:p>
      <w:pPr>
        <w:jc w:val="both"/>
        <w:ind w:left="100" w:firstLine="493"/>
        <w:spacing w:after="0" w:line="256" w:lineRule="auto"/>
        <w:tabs>
          <w:tab w:leader="none" w:pos="976"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w:t>
      </w:r>
      <w:r>
        <w:rPr>
          <w:rFonts w:ascii="Times New Roman" w:cs="Times New Roman" w:eastAsia="Times New Roman" w:hAnsi="Times New Roman"/>
          <w:sz w:val="19"/>
          <w:szCs w:val="19"/>
          <w:u w:val="single" w:color="auto"/>
          <w:color w:val="auto"/>
        </w:rPr>
        <w:t>paragraph (b)(v)</w:t>
      </w:r>
      <w:r>
        <w:rPr>
          <w:rFonts w:ascii="Times New Roman" w:cs="Times New Roman" w:eastAsia="Times New Roman" w:hAnsi="Times New Roman"/>
          <w:sz w:val="19"/>
          <w:szCs w:val="19"/>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9"/>
          <w:szCs w:val="19"/>
          <w:u w:val="single" w:color="auto"/>
          <w:color w:val="auto"/>
        </w:rPr>
        <w:t>Sections 2.13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2.15</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cs="Times New Roman" w:eastAsia="Times New Roman" w:hAnsi="Times New Roman"/>
          <w:sz w:val="19"/>
          <w:szCs w:val="19"/>
          <w:u w:val="single" w:color="auto"/>
          <w:color w:val="auto"/>
        </w:rPr>
        <w:t>paragraph (b)(i)</w:t>
      </w:r>
      <w:r>
        <w:rPr>
          <w:rFonts w:ascii="Times New Roman" w:cs="Times New Roman" w:eastAsia="Times New Roman" w:hAnsi="Times New Roman"/>
          <w:sz w:val="19"/>
          <w:szCs w:val="19"/>
          <w:color w:val="auto"/>
        </w:rPr>
        <w:t xml:space="preserve"> of this Section.</w:t>
      </w:r>
    </w:p>
    <w:p>
      <w:pPr>
        <w:spacing w:after="0" w:line="180" w:lineRule="exact"/>
        <w:rPr>
          <w:rFonts w:ascii="Times New Roman" w:cs="Times New Roman" w:eastAsia="Times New Roman" w:hAnsi="Times New Roman"/>
          <w:sz w:val="19"/>
          <w:szCs w:val="19"/>
          <w:color w:val="auto"/>
        </w:rPr>
      </w:pPr>
    </w:p>
    <w:p>
      <w:pPr>
        <w:jc w:val="both"/>
        <w:ind w:left="100" w:firstLine="493"/>
        <w:spacing w:after="0" w:line="243" w:lineRule="auto"/>
        <w:tabs>
          <w:tab w:leader="none" w:pos="93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189" w:lineRule="exact"/>
        <w:rPr>
          <w:rFonts w:ascii="Times New Roman" w:cs="Times New Roman" w:eastAsia="Times New Roman" w:hAnsi="Times New Roman"/>
          <w:sz w:val="20"/>
          <w:szCs w:val="20"/>
          <w:color w:val="auto"/>
        </w:rPr>
      </w:pPr>
    </w:p>
    <w:p>
      <w:pPr>
        <w:ind w:left="100" w:right="20" w:firstLine="493"/>
        <w:spacing w:after="0" w:line="269" w:lineRule="auto"/>
        <w:tabs>
          <w:tab w:leader="none" w:pos="887"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its receipt of a duly completed Assignment and Assumption executed by an assigning Lender and an assignee, the assignee’s completed</w:t>
      </w:r>
    </w:p>
    <w:p>
      <w:pPr>
        <w:spacing w:after="0" w:line="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color w:val="auto"/>
        </w:rPr>
        <w:t>-122-</w:t>
      </w:r>
    </w:p>
    <w:p>
      <w:pPr>
        <w:sectPr>
          <w:pgSz w:w="11900" w:h="16838" w:orient="portrait"/>
          <w:cols w:equalWidth="0" w:num="1">
            <w:col w:w="10020"/>
          </w:cols>
          <w:pgMar w:left="1440" w:top="265" w:right="439" w:bottom="1440" w:gutter="0" w:footer="0" w:header="0"/>
        </w:sectPr>
      </w:pPr>
    </w:p>
    <w:bookmarkStart w:id="135" w:name="page136"/>
    <w:bookmarkEnd w:id="135"/>
    <w:p>
      <w:pPr>
        <w:jc w:val="both"/>
        <w:ind w:left="1100"/>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Questionnaire and any tax forms required by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 xml:space="preserv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any written consent to such assignment required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85" w:lineRule="exact"/>
        <w:rPr>
          <w:sz w:val="20"/>
          <w:szCs w:val="20"/>
          <w:color w:val="auto"/>
        </w:rPr>
      </w:pPr>
    </w:p>
    <w:p>
      <w:pPr>
        <w:jc w:val="both"/>
        <w:ind w:left="1100" w:right="20" w:firstLine="493"/>
        <w:spacing w:after="0" w:line="245" w:lineRule="auto"/>
        <w:tabs>
          <w:tab w:leader="none" w:pos="194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rFonts w:ascii="Times New Roman" w:cs="Times New Roman" w:eastAsia="Times New Roman" w:hAnsi="Times New Roman"/>
          <w:sz w:val="20"/>
          <w:szCs w:val="20"/>
          <w:color w:val="auto"/>
        </w:rPr>
      </w:pPr>
    </w:p>
    <w:p>
      <w:pPr>
        <w:jc w:val="both"/>
        <w:ind w:firstLine="767"/>
        <w:spacing w:after="0"/>
        <w:tabs>
          <w:tab w:leader="none" w:pos="1051"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Lender may, with the consent of the Borrower (unless an Event of Default under </w:t>
      </w:r>
      <w:r>
        <w:rPr>
          <w:rFonts w:ascii="Times New Roman" w:cs="Times New Roman" w:eastAsia="Times New Roman" w:hAnsi="Times New Roman"/>
          <w:sz w:val="20"/>
          <w:szCs w:val="20"/>
          <w:u w:val="single" w:color="auto"/>
          <w:color w:val="auto"/>
        </w:rPr>
        <w:t>Section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has occurred and is continuing), sell participations to one or more banks or other entities, other than a natural person, Disqualified Lender, Defaulting Lender or the Borrower or any of its Affiliates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 its capacity as a Revolving Lender (including all or a portion of its Revolving Commitment and the Revolving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affects such Participant. Subject to </w:t>
      </w:r>
      <w:r>
        <w:rPr>
          <w:rFonts w:ascii="Times New Roman" w:cs="Times New Roman" w:eastAsia="Times New Roman" w:hAnsi="Times New Roman"/>
          <w:sz w:val="20"/>
          <w:szCs w:val="20"/>
          <w:u w:val="single" w:color="auto"/>
          <w:color w:val="auto"/>
        </w:rPr>
        <w:t>paragraph (d)(ii)</w:t>
      </w:r>
      <w:r>
        <w:rPr>
          <w:rFonts w:ascii="Times New Roman" w:cs="Times New Roman" w:eastAsia="Times New Roman" w:hAnsi="Times New Roman"/>
          <w:sz w:val="20"/>
          <w:szCs w:val="20"/>
          <w:color w:val="auto"/>
        </w:rPr>
        <w:t xml:space="preserve"> of this Section, the Borrower agrees that each Participant shall be entitled to the benefits of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subject to the requirements and limitations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shall be subject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as though it were a Lender and shall provide documentation required under </w:t>
      </w:r>
      <w:r>
        <w:rPr>
          <w:rFonts w:ascii="Times New Roman" w:cs="Times New Roman" w:eastAsia="Times New Roman" w:hAnsi="Times New Roman"/>
          <w:sz w:val="20"/>
          <w:szCs w:val="20"/>
          <w:u w:val="single" w:color="auto"/>
          <w:color w:val="auto"/>
        </w:rPr>
        <w:t>Section 2.15(e)</w:t>
      </w:r>
      <w:r>
        <w:rPr>
          <w:rFonts w:ascii="Times New Roman" w:cs="Times New Roman" w:eastAsia="Times New Roman" w:hAnsi="Times New Roman"/>
          <w:sz w:val="20"/>
          <w:szCs w:val="20"/>
          <w:color w:val="auto"/>
        </w:rPr>
        <w:t xml:space="preserve"> solely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Participant shall be subject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related interest)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Revolving Commitments, Loans or its other obligations under this Agreement) except to the extent that the relevant parties, acting reasonably and in good faith, determine that such disclosure is necessary to establish that such Revolving Commitment, Loan or other obligation is in registered form under Section 5f.103-1(c) of the United States Treasury Regulations. The entries in the Participant Register shall be conclusive and such Lender shall treat each person whose name is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1020"/>
          </w:cols>
          <w:pgMar w:left="440" w:top="265" w:right="439" w:bottom="1440" w:gutter="0" w:footer="0" w:header="0"/>
        </w:sectPr>
      </w:pPr>
    </w:p>
    <w:bookmarkStart w:id="136" w:name="page137"/>
    <w:bookmarkEnd w:id="136"/>
    <w:p>
      <w:pPr>
        <w:ind w:right="20"/>
        <w:spacing w:after="0" w:line="26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recorded in the Participant Register as the owner of such participation for all purposes of this Agreement notwithstanding any notice to the contrary.</w:t>
      </w:r>
    </w:p>
    <w:p>
      <w:pPr>
        <w:spacing w:after="0" w:line="159" w:lineRule="exact"/>
        <w:rPr>
          <w:sz w:val="20"/>
          <w:szCs w:val="20"/>
          <w:color w:val="auto"/>
        </w:rPr>
      </w:pPr>
    </w:p>
    <w:p>
      <w:pPr>
        <w:jc w:val="both"/>
        <w:ind w:left="1100" w:firstLine="493"/>
        <w:spacing w:after="0" w:line="249" w:lineRule="auto"/>
        <w:tabs>
          <w:tab w:leader="none" w:pos="191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w:t>
      </w:r>
    </w:p>
    <w:p>
      <w:pPr>
        <w:spacing w:after="0" w:line="179" w:lineRule="exact"/>
        <w:rPr>
          <w:rFonts w:ascii="Times New Roman" w:cs="Times New Roman" w:eastAsia="Times New Roman" w:hAnsi="Times New Roman"/>
          <w:sz w:val="20"/>
          <w:szCs w:val="20"/>
          <w:color w:val="auto"/>
        </w:rPr>
      </w:pPr>
    </w:p>
    <w:p>
      <w:pPr>
        <w:jc w:val="both"/>
        <w:ind w:right="20" w:firstLine="767"/>
        <w:spacing w:after="0" w:line="249" w:lineRule="auto"/>
        <w:tabs>
          <w:tab w:leader="none" w:pos="105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color w:val="auto"/>
        </w:rPr>
      </w:pPr>
    </w:p>
    <w:p>
      <w:pPr>
        <w:ind w:left="1020" w:hanging="253"/>
        <w:spacing w:after="0"/>
        <w:tabs>
          <w:tab w:leader="none" w:pos="102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right="20" w:firstLine="767"/>
        <w:spacing w:after="0" w:line="242" w:lineRule="auto"/>
        <w:tabs>
          <w:tab w:leader="none" w:pos="1081"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if at any time any Issuing Bank assigns all of its Revolving Commitments and Revolving Loans pursuant to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xml:space="preserve">,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(i) such successor shall succeed to and become vested with all of the rights, powers, privileges and duties of the retiring Issuing Bank and (ii) 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w:t>
      </w:r>
    </w:p>
    <w:p>
      <w:pPr>
        <w:spacing w:after="0" w:line="189" w:lineRule="exact"/>
        <w:rPr>
          <w:rFonts w:ascii="Times New Roman" w:cs="Times New Roman" w:eastAsia="Times New Roman" w:hAnsi="Times New Roman"/>
          <w:sz w:val="20"/>
          <w:szCs w:val="20"/>
          <w:color w:val="auto"/>
        </w:rPr>
      </w:pPr>
    </w:p>
    <w:p>
      <w:pPr>
        <w:jc w:val="both"/>
        <w:ind w:right="20" w:firstLine="767"/>
        <w:spacing w:after="0" w:line="260" w:lineRule="auto"/>
        <w:tabs>
          <w:tab w:leader="none" w:pos="106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list of Disqualified Lenders shall be made available to any Lender upon request to the Administrative Agent, subject to customary confidentiality requirements. The Administrative Agent shall not be responsible or have any liability for, or have any duty to ascertain, inquire into, monitor or enforce, compliance with the provisions in this Agreement relating to Disqualified Lenders. Without limiting the generality of the foregoing, the Administrative Agent shall not (a) be obligated to ascertain, monitor or inquire as to whether any Revolving Lender or Participant or prospective Revolving Lender or Participant is a Disqualified Lender or (b) have any liability with respect to or arising out of any assignment or participation of Loans, or disclosure of confidential information, to any Disqualified Lender.</w:t>
      </w:r>
    </w:p>
    <w:p>
      <w:pPr>
        <w:spacing w:after="0" w:line="173" w:lineRule="exact"/>
        <w:rPr>
          <w:sz w:val="20"/>
          <w:szCs w:val="20"/>
          <w:color w:val="auto"/>
        </w:rPr>
      </w:pPr>
    </w:p>
    <w:p>
      <w:pPr>
        <w:jc w:val="both"/>
        <w:ind w:firstLine="1542"/>
        <w:spacing w:after="0" w:line="245"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ectPr>
          <w:pgSz w:w="11900" w:h="16838" w:orient="portrait"/>
          <w:cols w:equalWidth="0" w:num="1">
            <w:col w:w="11020"/>
          </w:cols>
          <w:pgMar w:left="440" w:top="265" w:right="439" w:bottom="1440" w:gutter="0" w:footer="0" w:header="0"/>
        </w:sectPr>
      </w:pPr>
    </w:p>
    <w:bookmarkStart w:id="137" w:name="page138"/>
    <w:bookmarkEnd w:id="137"/>
    <w:p>
      <w:pPr>
        <w:jc w:val="both"/>
        <w:ind w:right="20"/>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 of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86"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9.06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w:t>
      </w:r>
    </w:p>
    <w:p>
      <w:pPr>
        <w:spacing w:after="0" w:line="192" w:lineRule="exact"/>
        <w:rPr>
          <w:sz w:val="20"/>
          <w:szCs w:val="20"/>
          <w:color w:val="auto"/>
        </w:rPr>
      </w:pPr>
    </w:p>
    <w:p>
      <w:pPr>
        <w:jc w:val="both"/>
        <w:ind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xml:space="preserve">.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and application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The rights of each Lender, Issuing Bank and their respective Affiliates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are in addition to other rights and remedies (including other rights of setoff) that such Lender, Issuing Bank and their respective Affiliates may have.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ectPr>
          <w:pgSz w:w="11900" w:h="16838" w:orient="portrait"/>
          <w:cols w:equalWidth="0" w:num="1">
            <w:col w:w="11020"/>
          </w:cols>
          <w:pgMar w:left="440" w:top="265" w:right="439" w:bottom="1440" w:gutter="0" w:footer="0" w:header="0"/>
        </w:sectPr>
      </w:pPr>
    </w:p>
    <w:bookmarkStart w:id="138" w:name="page139"/>
    <w:bookmarkEnd w:id="138"/>
    <w:p>
      <w:pPr>
        <w:ind w:left="15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9.09 </w:t>
      </w:r>
      <w:r>
        <w:rPr>
          <w:rFonts w:ascii="Times New Roman" w:cs="Times New Roman" w:eastAsia="Times New Roman" w:hAnsi="Times New Roman"/>
          <w:sz w:val="20"/>
          <w:szCs w:val="20"/>
          <w:u w:val="single" w:color="auto"/>
          <w:color w:val="auto"/>
        </w:rPr>
        <w:t>Governing Law; Jurisdiction; Consent to Service of Process.</w:t>
      </w:r>
    </w:p>
    <w:p>
      <w:pPr>
        <w:spacing w:after="0" w:line="216" w:lineRule="exact"/>
        <w:rPr>
          <w:sz w:val="20"/>
          <w:szCs w:val="20"/>
          <w:color w:val="auto"/>
        </w:rPr>
      </w:pPr>
    </w:p>
    <w:p>
      <w:pPr>
        <w:ind w:left="1040" w:hanging="273"/>
        <w:spacing w:after="0"/>
        <w:tabs>
          <w:tab w:leader="none" w:pos="104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construed in accordance with and governed by the law of the State of New York.</w:t>
      </w:r>
    </w:p>
    <w:p>
      <w:pPr>
        <w:spacing w:after="0" w:line="215" w:lineRule="exact"/>
        <w:rPr>
          <w:rFonts w:ascii="Times New Roman" w:cs="Times New Roman" w:eastAsia="Times New Roman" w:hAnsi="Times New Roman"/>
          <w:sz w:val="20"/>
          <w:szCs w:val="20"/>
          <w:color w:val="auto"/>
        </w:rPr>
      </w:pPr>
    </w:p>
    <w:p>
      <w:pPr>
        <w:jc w:val="both"/>
        <w:ind w:firstLine="767"/>
        <w:spacing w:after="0" w:line="257" w:lineRule="auto"/>
        <w:tabs>
          <w:tab w:leader="none" w:pos="1091"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any Loan Party or its property in the courts of any jurisdiction.</w:t>
      </w:r>
    </w:p>
    <w:p>
      <w:pPr>
        <w:spacing w:after="0" w:line="175" w:lineRule="exact"/>
        <w:rPr>
          <w:rFonts w:ascii="Times New Roman" w:cs="Times New Roman" w:eastAsia="Times New Roman" w:hAnsi="Times New Roman"/>
          <w:sz w:val="19"/>
          <w:szCs w:val="19"/>
          <w:color w:val="auto"/>
        </w:rPr>
      </w:pPr>
    </w:p>
    <w:p>
      <w:pPr>
        <w:jc w:val="both"/>
        <w:ind w:right="20" w:firstLine="767"/>
        <w:spacing w:after="0" w:line="249" w:lineRule="auto"/>
        <w:tabs>
          <w:tab w:leader="none" w:pos="1042"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w:t>
      </w:r>
      <w:r>
        <w:rPr>
          <w:rFonts w:ascii="Times New Roman" w:cs="Times New Roman" w:eastAsia="Times New Roman" w:hAnsi="Times New Roman"/>
          <w:sz w:val="20"/>
          <w:szCs w:val="20"/>
          <w:u w:val="single" w:color="auto"/>
          <w:color w:val="auto"/>
        </w:rPr>
        <w:t>Section 9.09(b)</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20"/>
          <w:szCs w:val="20"/>
          <w:color w:val="auto"/>
        </w:rPr>
      </w:pPr>
    </w:p>
    <w:p>
      <w:pPr>
        <w:ind w:right="20" w:firstLine="767"/>
        <w:spacing w:after="0" w:line="295" w:lineRule="auto"/>
        <w:tabs>
          <w:tab w:leader="none" w:pos="1062" w:val="left"/>
        </w:tabs>
        <w:numPr>
          <w:ilvl w:val="0"/>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party to this Agreement irrevocably consents to service of process in the manner provided for notices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Nothing in any Loan Document will affect the right of any party to this Agreement to serve process in any other manner permitted by law.</w:t>
      </w:r>
    </w:p>
    <w:p>
      <w:pPr>
        <w:spacing w:after="0" w:line="138" w:lineRule="exact"/>
        <w:rPr>
          <w:sz w:val="20"/>
          <w:szCs w:val="20"/>
          <w:color w:val="auto"/>
        </w:rPr>
      </w:pPr>
    </w:p>
    <w:p>
      <w:pPr>
        <w:jc w:val="both"/>
        <w:ind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6" w:lineRule="exact"/>
        <w:rPr>
          <w:sz w:val="20"/>
          <w:szCs w:val="20"/>
          <w:color w:val="auto"/>
        </w:rPr>
      </w:pPr>
    </w:p>
    <w:p>
      <w:pPr>
        <w:jc w:val="both"/>
        <w:ind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Collateral and Guaranty Matters</w:t>
      </w:r>
      <w:r>
        <w:rPr>
          <w:rFonts w:ascii="Times New Roman" w:cs="Times New Roman" w:eastAsia="Times New Roman" w:hAnsi="Times New Roman"/>
          <w:sz w:val="20"/>
          <w:szCs w:val="20"/>
          <w:color w:val="auto"/>
        </w:rPr>
        <w:t>. Each Lender (including in its capacity as a counterparty to a Secured Hedge Agreement or Treasury Services Agreement) and each other Secured Party by its acceptance of the Collateral Documents irrevocably agrees:</w:t>
      </w:r>
    </w:p>
    <w:p>
      <w:pPr>
        <w:spacing w:after="0" w:line="174" w:lineRule="exact"/>
        <w:rPr>
          <w:sz w:val="20"/>
          <w:szCs w:val="20"/>
          <w:color w:val="auto"/>
        </w:rPr>
      </w:pPr>
    </w:p>
    <w:p>
      <w:pPr>
        <w:jc w:val="both"/>
        <w:ind w:left="760" w:right="20" w:firstLine="724"/>
        <w:spacing w:after="0" w:line="247" w:lineRule="auto"/>
        <w:tabs>
          <w:tab w:leader="none" w:pos="1768"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Lien on any property granted to or held by the Administrative Agent or the Collateral Agent under any Loan Document shall be automatically released (i) upon termination of the Commitments and payment in full of all Obligations (other than (x) obligations under Secured Hedge Agreements and Treasury Services Agreements not yet due and payable and</w:t>
      </w:r>
    </w:p>
    <w:p>
      <w:pPr>
        <w:ind w:left="1040" w:hanging="273"/>
        <w:spacing w:after="0"/>
        <w:tabs>
          <w:tab w:leader="none" w:pos="104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indemnification obligations not yet accrued and payable) and the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ectPr>
          <w:pgSz w:w="11900" w:h="16838" w:orient="portrait"/>
          <w:cols w:equalWidth="0" w:num="1">
            <w:col w:w="11020"/>
          </w:cols>
          <w:pgMar w:left="440" w:top="265" w:right="439" w:bottom="1440" w:gutter="0" w:footer="0" w:header="0"/>
        </w:sectPr>
      </w:pPr>
    </w:p>
    <w:bookmarkStart w:id="139" w:name="page140"/>
    <w:bookmarkEnd w:id="139"/>
    <w:p>
      <w:pPr>
        <w:jc w:val="both"/>
        <w:ind w:left="760"/>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or termination or Cash Collateralization of all Letters of Credit (or if such Letters of Credit have been backstopped by letters of credit reasonably satisfactory to the applicable Issuing Banks or deemed reissued under another agreement reasonably satisfactory to the applicable Issuing Banks, in which case, such Letters of Credit shall cease to be outstanding for purposes of this Agreement), (ii) at the time the property subject to such Lien is sold, transferred or otherwise disposed of as part of or in connection with any transaction permitted hereunder or under any other Loan Document to any Person other than a Person required to grant a Lien to the Administrative Agent or the Collateral Agent under the Loan Documents, (iii) subject to Section 9.02, if the release of such Lien is approved, authorized or ratified in writing by the Required Lenders, (iv) to the extent such asset constitutes an Excluded Asset, (v) upon a Collateral/Guarantee Release Event or (vi) if the property subject to such Lien is owned by a Guarantor, upon release of such Guarantor from its obligations under its Guaranty pursuant to clause</w:t>
      </w:r>
    </w:p>
    <w:p>
      <w:pPr>
        <w:ind w:left="1040" w:hanging="273"/>
        <w:spacing w:after="0"/>
        <w:tabs>
          <w:tab w:leader="none" w:pos="104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w:t>
      </w:r>
    </w:p>
    <w:p>
      <w:pPr>
        <w:spacing w:after="0" w:line="193" w:lineRule="exact"/>
        <w:rPr>
          <w:rFonts w:ascii="Times New Roman" w:cs="Times New Roman" w:eastAsia="Times New Roman" w:hAnsi="Times New Roman"/>
          <w:sz w:val="20"/>
          <w:szCs w:val="20"/>
          <w:color w:val="auto"/>
        </w:rPr>
      </w:pPr>
    </w:p>
    <w:p>
      <w:pPr>
        <w:jc w:val="both"/>
        <w:ind w:left="760" w:right="20" w:firstLine="724"/>
        <w:spacing w:after="0" w:line="249" w:lineRule="auto"/>
        <w:tabs>
          <w:tab w:leader="none" w:pos="183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any Guarantor shall be automatically released from its obligations under the Guaranty (i) upon a Collateral/Guarantee Release Event and (ii) if such Person ceases to be a Restricted Subsidiary or (subject to the proviso in the definition of “Excluded Subsidiaries”) becomes an Excluded Subsidiary as a result of a transaction or designation permitted hereunder; and</w:t>
      </w:r>
    </w:p>
    <w:p>
      <w:pPr>
        <w:spacing w:after="0" w:line="179" w:lineRule="exact"/>
        <w:rPr>
          <w:rFonts w:ascii="Times New Roman" w:cs="Times New Roman" w:eastAsia="Times New Roman" w:hAnsi="Times New Roman"/>
          <w:sz w:val="20"/>
          <w:szCs w:val="20"/>
          <w:color w:val="auto"/>
        </w:rPr>
      </w:pPr>
    </w:p>
    <w:p>
      <w:pPr>
        <w:ind w:left="760" w:right="20" w:firstLine="724"/>
        <w:spacing w:after="0" w:line="269" w:lineRule="auto"/>
        <w:tabs>
          <w:tab w:leader="none" w:pos="1789"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Agent may, without any further consent of any Lender, enter into any Intercreditor Agreement contemplated hereunder.</w:t>
      </w:r>
    </w:p>
    <w:p>
      <w:pPr>
        <w:spacing w:after="0" w:line="159" w:lineRule="exact"/>
        <w:rPr>
          <w:sz w:val="20"/>
          <w:szCs w:val="20"/>
          <w:color w:val="auto"/>
        </w:rPr>
      </w:pPr>
    </w:p>
    <w:p>
      <w:pPr>
        <w:jc w:val="both"/>
        <w:ind w:firstLine="771"/>
        <w:spacing w:after="0" w:line="242" w:lineRule="auto"/>
        <w:rPr>
          <w:sz w:val="20"/>
          <w:szCs w:val="20"/>
          <w:color w:val="auto"/>
        </w:rPr>
      </w:pPr>
      <w:r>
        <w:rPr>
          <w:rFonts w:ascii="Times New Roman" w:cs="Times New Roman" w:eastAsia="Times New Roman" w:hAnsi="Times New Roman"/>
          <w:sz w:val="20"/>
          <w:szCs w:val="20"/>
          <w:color w:val="auto"/>
        </w:rPr>
        <w:t xml:space="preserve">In each case as specified in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the Administrative Agent or the Collateral Agent will promptly upon the request of the Borrower (and each Lender irrevocably authorizes the Administrative Agent and the Collateral Agent to), at the Borrower’s expense, execute and deliver to the applicable Loan Party such documents as the Borrower may reasonably request to evidence the release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(and the Administrative Agent and the Collateral Agent may rely conclusively on a certificate of a Responsible Officer of the Borrower to that effect provided to it by any Loan Party upon its reasonable request without further inquiry). Any execution and delivery of documents pursuant to this Section shall be without recourse to or warranty by the Administrative Agent or the Collateral Agent. For the avoidance of doubt, no release of Collateral or Guarantors effected in the manner permitted by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shall require the consent of any holder of obligations under Secured Hedge Agreements or any Treasury Services Agreements.</w:t>
      </w:r>
    </w:p>
    <w:p>
      <w:pPr>
        <w:spacing w:after="0" w:line="192" w:lineRule="exact"/>
        <w:rPr>
          <w:sz w:val="20"/>
          <w:szCs w:val="20"/>
          <w:color w:val="auto"/>
        </w:rPr>
      </w:pPr>
    </w:p>
    <w:p>
      <w:pPr>
        <w:jc w:val="both"/>
        <w:ind w:right="20" w:firstLine="771"/>
        <w:spacing w:after="0" w:line="266" w:lineRule="auto"/>
        <w:rPr>
          <w:sz w:val="20"/>
          <w:szCs w:val="20"/>
          <w:color w:val="auto"/>
        </w:rPr>
      </w:pPr>
      <w:r>
        <w:rPr>
          <w:rFonts w:ascii="Times New Roman" w:cs="Times New Roman" w:eastAsia="Times New Roman" w:hAnsi="Times New Roman"/>
          <w:sz w:val="19"/>
          <w:szCs w:val="19"/>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and Collateral Agent in accordance with </w:t>
      </w:r>
      <w:r>
        <w:rPr>
          <w:rFonts w:ascii="Times New Roman" w:cs="Times New Roman" w:eastAsia="Times New Roman" w:hAnsi="Times New Roman"/>
          <w:sz w:val="19"/>
          <w:szCs w:val="19"/>
          <w:u w:val="single" w:color="auto"/>
          <w:color w:val="auto"/>
        </w:rPr>
        <w:t>Section 7.01</w:t>
      </w:r>
      <w:r>
        <w:rPr>
          <w:rFonts w:ascii="Times New Roman" w:cs="Times New Roman" w:eastAsia="Times New Roman" w:hAnsi="Times New Roman"/>
          <w:sz w:val="19"/>
          <w:szCs w:val="19"/>
          <w:color w:val="auto"/>
        </w:rPr>
        <w:t xml:space="preserve"> for the benefit of all the Lenders and the other Secured Parties.</w:t>
      </w:r>
    </w:p>
    <w:p>
      <w:pPr>
        <w:spacing w:after="0" w:line="165" w:lineRule="exact"/>
        <w:rPr>
          <w:sz w:val="20"/>
          <w:szCs w:val="20"/>
          <w:color w:val="auto"/>
        </w:rPr>
      </w:pPr>
    </w:p>
    <w:p>
      <w:pPr>
        <w:jc w:val="both"/>
        <w:ind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Collateral/Guarantee Release Event</w:t>
      </w:r>
      <w:r>
        <w:rPr>
          <w:rFonts w:ascii="Times New Roman" w:cs="Times New Roman" w:eastAsia="Times New Roman" w:hAnsi="Times New Roman"/>
          <w:sz w:val="20"/>
          <w:szCs w:val="20"/>
          <w:color w:val="auto"/>
        </w:rPr>
        <w:t>. Notwithstanding anything to the contrary in this Agreement, if on any date (i) the Borrower has an Investment Grade Rating from both Moody’s and S&amp;P, (ii) either no Indebtedness under Section 6.01(s) is outstanding that is secured by Liens on the Collateral or such Liens will be substantially concurrently released and (iii) no Event of Default has occurred and is continuing (a “</w:t>
      </w:r>
      <w:r>
        <w:rPr>
          <w:rFonts w:ascii="Times New Roman" w:cs="Times New Roman" w:eastAsia="Times New Roman" w:hAnsi="Times New Roman"/>
          <w:sz w:val="20"/>
          <w:szCs w:val="20"/>
          <w:u w:val="single" w:color="auto"/>
          <w:color w:val="auto"/>
        </w:rPr>
        <w:t>Collateral/Guarantee Release Event</w:t>
      </w:r>
      <w:r>
        <w:rPr>
          <w:rFonts w:ascii="Times New Roman" w:cs="Times New Roman" w:eastAsia="Times New Roman" w:hAnsi="Times New Roman"/>
          <w:sz w:val="20"/>
          <w:szCs w:val="20"/>
          <w:color w:val="auto"/>
        </w:rPr>
        <w:t>”), the Liens on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ectPr>
          <w:pgSz w:w="11900" w:h="16838" w:orient="portrait"/>
          <w:cols w:equalWidth="0" w:num="1">
            <w:col w:w="11020"/>
          </w:cols>
          <w:pgMar w:left="440" w:top="265" w:right="439" w:bottom="1440" w:gutter="0" w:footer="0" w:header="0"/>
        </w:sectPr>
      </w:pPr>
    </w:p>
    <w:bookmarkStart w:id="140" w:name="page141"/>
    <w:bookmarkEnd w:id="140"/>
    <w:p>
      <w:pPr>
        <w:jc w:val="both"/>
        <w:ind w:left="4"/>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securing the Obligations and the Guaranty of the Guarantors shall each be released automatically without any further action. If, at any time after a Collateral/Guarantee Release Event, the Borrower shall no longer have an Investment Grade Rating from both Moody’s and S&amp;P, such Liens and Guaranty shall automatically be reinstated without any further action and the Borrower shall execute any documents reasonably required by the Administrative Agent to evidence the foregoing and take all actions to perfect such Liens promptly, and in any event within 60 days thereof (or such later date approved by the Administrative Agent in its reasonable discretion).</w:t>
      </w:r>
    </w:p>
    <w:p>
      <w:pPr>
        <w:spacing w:after="0" w:line="185" w:lineRule="exact"/>
        <w:rPr>
          <w:sz w:val="20"/>
          <w:szCs w:val="20"/>
          <w:color w:val="auto"/>
        </w:rPr>
      </w:pPr>
    </w:p>
    <w:p>
      <w:pPr>
        <w:jc w:val="both"/>
        <w:ind w:left="4" w:firstLine="1542"/>
        <w:spacing w:after="0" w:line="241"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xml:space="preserve">. Each of the Administrative Agent, the Lenders, and the Issuing Banks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subject to the last paragraph of this Section and limitations set forth in this Agreement relating to Public Lenders,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to (i) any permitted assignee of or permitted Participant in, or any prospective assignee of or Participant in, any of its rights or obligations under this Agreement, (ii) any pledgee referred to in </w:t>
      </w:r>
      <w:r>
        <w:rPr>
          <w:rFonts w:ascii="Times New Roman" w:cs="Times New Roman" w:eastAsia="Times New Roman" w:hAnsi="Times New Roman"/>
          <w:sz w:val="20"/>
          <w:szCs w:val="20"/>
          <w:u w:val="single" w:color="auto"/>
          <w:color w:val="auto"/>
        </w:rPr>
        <w:t>Section 9.04(e)</w:t>
      </w:r>
      <w:r>
        <w:rPr>
          <w:rFonts w:ascii="Times New Roman" w:cs="Times New Roman" w:eastAsia="Times New Roman" w:hAnsi="Times New Roman"/>
          <w:sz w:val="20"/>
          <w:szCs w:val="20"/>
          <w:color w:val="auto"/>
        </w:rPr>
        <w:t xml:space="preserve"> or (iii) any actual or prospective counterparty (or its advisors) to any swap or derivative transaction relating to the Borrower and its Obligations, (g) with the consent of the Borrower or (h) to the extent such Information (i) becomes publicly available other than as a result of a breach of this Section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w:t>
      </w:r>
    </w:p>
    <w:p>
      <w:pPr>
        <w:spacing w:after="0" w:line="187" w:lineRule="exact"/>
        <w:rPr>
          <w:sz w:val="20"/>
          <w:szCs w:val="20"/>
          <w:color w:val="auto"/>
        </w:rPr>
      </w:pPr>
    </w:p>
    <w:p>
      <w:pPr>
        <w:jc w:val="both"/>
        <w:ind w:left="4" w:right="20" w:firstLine="771"/>
        <w:spacing w:after="0" w:line="250"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 received from or on behalf of the Borrower or any Subsidiary thereof relating to the Borrower or any Affiliate thereof or their respective businesses, other than any such information that is</w:t>
      </w:r>
    </w:p>
    <w:p>
      <w:pPr>
        <w:spacing w:after="0" w:line="2" w:lineRule="exact"/>
        <w:rPr>
          <w:sz w:val="20"/>
          <w:szCs w:val="20"/>
          <w:color w:val="auto"/>
        </w:rPr>
      </w:pPr>
    </w:p>
    <w:p>
      <w:pPr>
        <w:jc w:val="both"/>
        <w:ind w:left="4" w:right="20" w:hanging="4"/>
        <w:spacing w:after="0" w:line="252" w:lineRule="auto"/>
        <w:tabs>
          <w:tab w:leader="none" w:pos="243"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w:t>
      </w:r>
    </w:p>
    <w:p>
      <w:pPr>
        <w:jc w:val="both"/>
        <w:ind w:left="4" w:hanging="4"/>
        <w:spacing w:after="0" w:line="242" w:lineRule="auto"/>
        <w:tabs>
          <w:tab w:leader="none" w:pos="299"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clearly marked “non-confidential.” Any Person required to maintain the confidentiality of Information as provided in this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color w:val="auto"/>
        </w:rPr>
        <w:t>-128-</w:t>
      </w:r>
    </w:p>
    <w:p>
      <w:pPr>
        <w:sectPr>
          <w:pgSz w:w="11900" w:h="16838" w:orient="portrait"/>
          <w:cols w:equalWidth="0" w:num="1">
            <w:col w:w="11024"/>
          </w:cols>
          <w:pgMar w:left="436" w:top="265" w:right="439" w:bottom="1440" w:gutter="0" w:footer="0" w:header="0"/>
        </w:sectPr>
      </w:pPr>
    </w:p>
    <w:bookmarkStart w:id="141" w:name="page142"/>
    <w:bookmarkEnd w:id="141"/>
    <w:p>
      <w:pPr>
        <w:jc w:val="both"/>
        <w:ind w:right="20" w:firstLine="771"/>
        <w:spacing w:after="0" w:line="26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Administrative Agent, the Lenders, Issuing Banks, the Arrangers and the Joint Bookrunning Managers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165" w:lineRule="exact"/>
        <w:rPr>
          <w:sz w:val="20"/>
          <w:szCs w:val="20"/>
          <w:color w:val="auto"/>
        </w:rPr>
      </w:pPr>
    </w:p>
    <w:p>
      <w:pPr>
        <w:jc w:val="both"/>
        <w:ind w:right="20" w:firstLine="771"/>
        <w:spacing w:after="0" w:line="269" w:lineRule="auto"/>
        <w:rPr>
          <w:sz w:val="20"/>
          <w:szCs w:val="20"/>
          <w:color w:val="auto"/>
        </w:rPr>
      </w:pPr>
      <w:r>
        <w:rPr>
          <w:rFonts w:ascii="Times New Roman" w:cs="Times New Roman" w:eastAsia="Times New Roman" w:hAnsi="Times New Roman"/>
          <w:sz w:val="20"/>
          <w:szCs w:val="20"/>
          <w:color w:val="auto"/>
        </w:rPr>
        <w:t>Notwithstanding anything to the contrary set forth in this Agreement, no disclosure of Information shall be made to any Disqualified Lender pursuant to clause (f)(i) of the third preceding paragraph.</w:t>
      </w:r>
    </w:p>
    <w:p>
      <w:pPr>
        <w:spacing w:after="0" w:line="159"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Effective Rate to the date of repayment, shall have been received by such Lender.</w:t>
      </w:r>
    </w:p>
    <w:p>
      <w:pPr>
        <w:spacing w:after="0" w:line="190" w:lineRule="exact"/>
        <w:rPr>
          <w:sz w:val="20"/>
          <w:szCs w:val="20"/>
          <w:color w:val="auto"/>
        </w:rPr>
      </w:pPr>
    </w:p>
    <w:p>
      <w:pPr>
        <w:jc w:val="both"/>
        <w:ind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hereby notifies the Borrower that pursuant to the requirements of the USA Patriot Act (Title III of Pub. L. 107-56 (signed into law October 26, 2001)), and the requirements of the Beneficial Ownership Regulation as amended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it is required to obtain, verify and record information that identifies the Borrower, which information includes the name, address and tax identification number of the Borrower and other information that will allow such Lender to identify the Borrower in accordance with the Patriot Act.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 and the Beneficial Ownership Regulation.</w:t>
      </w:r>
    </w:p>
    <w:p>
      <w:pPr>
        <w:spacing w:after="0" w:line="186"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9.16 </w:t>
      </w:r>
      <w:r>
        <w:rPr>
          <w:rFonts w:ascii="Times New Roman" w:cs="Times New Roman" w:eastAsia="Times New Roman" w:hAnsi="Times New Roman"/>
          <w:sz w:val="20"/>
          <w:szCs w:val="20"/>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(which term for purposes of this Section 9.16 shall include the Joint Bookrunning Managers, Syndication Agent and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and the Lenders each is and has been acting solely as a principal and is not the financial advisor, agent or fiduciary, for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ectPr>
          <w:pgSz w:w="11900" w:h="16838" w:orient="portrait"/>
          <w:cols w:equalWidth="0" w:num="1">
            <w:col w:w="11020"/>
          </w:cols>
          <w:pgMar w:left="440" w:top="265" w:right="439" w:bottom="1440" w:gutter="0" w:footer="0" w:header="0"/>
        </w:sectPr>
      </w:pPr>
    </w:p>
    <w:bookmarkStart w:id="142" w:name="page143"/>
    <w:bookmarkEnd w:id="142"/>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or any of its Affiliates; (iii) none of the Administrative Agent, the Arrangers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or the Lenders have advised or are currently advising the Borrower or any of its Affiliates on other matters) and none of the Administrative Agent, the Arrangers or the Lenders has any obligation to the Borrower or any of its Affiliates with respect to the transactions contemplated hereby except those obligations expressly set forth herein and in the other Loan Documents; (iv) the Administrative Agent, each Arranger, each Lender and their respective Affiliates may be engaged in a broad range of transactions that involve interests that differ from those of the Borrower and its Affiliates, and none of the Administrative Agent, the Arrangers or the Lenders has any obligation to disclose any of such interests by virtue of any advisory, agency or fiduciary relationship; and (v) the Administrative Agent, the Arrangers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and each Lender with respect to any breach or alleged breach of agency or fiduciary duty in connection with any aspect of any transaction contemplated hereby.</w:t>
      </w:r>
    </w:p>
    <w:p>
      <w:pPr>
        <w:spacing w:after="0" w:line="194" w:lineRule="exact"/>
        <w:rPr>
          <w:sz w:val="20"/>
          <w:szCs w:val="20"/>
          <w:color w:val="auto"/>
        </w:rPr>
      </w:pPr>
    </w:p>
    <w:p>
      <w:pPr>
        <w:jc w:val="both"/>
        <w:ind w:firstLine="1542"/>
        <w:spacing w:after="0" w:line="241" w:lineRule="auto"/>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94" w:lineRule="exact"/>
        <w:rPr>
          <w:sz w:val="20"/>
          <w:szCs w:val="20"/>
          <w:color w:val="auto"/>
        </w:rPr>
      </w:pPr>
    </w:p>
    <w:p>
      <w:pPr>
        <w:jc w:val="both"/>
        <w:ind w:firstLine="1542"/>
        <w:spacing w:after="0" w:line="260" w:lineRule="auto"/>
        <w:rPr>
          <w:sz w:val="20"/>
          <w:szCs w:val="20"/>
          <w:color w:val="auto"/>
        </w:rPr>
      </w:pPr>
      <w:r>
        <w:rPr>
          <w:rFonts w:ascii="Times New Roman" w:cs="Times New Roman" w:eastAsia="Times New Roman" w:hAnsi="Times New Roman"/>
          <w:sz w:val="19"/>
          <w:szCs w:val="19"/>
          <w:color w:val="auto"/>
        </w:rPr>
        <w:t xml:space="preserve">Section 9.18 </w:t>
      </w:r>
      <w:r>
        <w:rPr>
          <w:rFonts w:ascii="Times New Roman" w:cs="Times New Roman" w:eastAsia="Times New Roman" w:hAnsi="Times New Roman"/>
          <w:sz w:val="19"/>
          <w:szCs w:val="19"/>
          <w:u w:val="single" w:color="auto"/>
          <w:color w:val="auto"/>
        </w:rPr>
        <w:t>Electronic Execution of Assignments and Certain Other Documents</w:t>
      </w:r>
      <w:r>
        <w:rPr>
          <w:rFonts w:ascii="Times New Roman" w:cs="Times New Roman" w:eastAsia="Times New Roman" w:hAnsi="Times New Roman"/>
          <w:sz w:val="19"/>
          <w:szCs w:val="19"/>
          <w:color w:val="auto"/>
        </w:rPr>
        <w:t>. The words “execution,” “execute,” “signed,” “signature,”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ectPr>
          <w:pgSz w:w="11900" w:h="16838" w:orient="portrait"/>
          <w:cols w:equalWidth="0" w:num="1">
            <w:col w:w="11020"/>
          </w:cols>
          <w:pgMar w:left="440" w:top="265" w:right="439" w:bottom="1440" w:gutter="0" w:footer="0" w:header="0"/>
        </w:sectPr>
      </w:pPr>
    </w:p>
    <w:bookmarkStart w:id="143" w:name="page144"/>
    <w:bookmarkEnd w:id="143"/>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85" w:lineRule="exact"/>
        <w:rPr>
          <w:sz w:val="20"/>
          <w:szCs w:val="20"/>
          <w:color w:val="auto"/>
        </w:rPr>
      </w:pPr>
    </w:p>
    <w:p>
      <w:pPr>
        <w:jc w:val="both"/>
        <w:ind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Section 9.19 </w:t>
      </w:r>
      <w:r>
        <w:rPr>
          <w:rFonts w:ascii="Times New Roman" w:cs="Times New Roman" w:eastAsia="Times New Roman" w:hAnsi="Times New Roman"/>
          <w:sz w:val="20"/>
          <w:szCs w:val="20"/>
          <w:u w:val="single" w:color="auto"/>
          <w:color w:val="auto"/>
        </w:rPr>
        <w:t>Acknowledgement and Consent to Bail-In of EEA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85" w:lineRule="exact"/>
        <w:rPr>
          <w:sz w:val="20"/>
          <w:szCs w:val="20"/>
          <w:color w:val="auto"/>
        </w:rPr>
      </w:pPr>
    </w:p>
    <w:p>
      <w:pPr>
        <w:ind w:left="760" w:firstLine="724"/>
        <w:spacing w:after="0" w:line="269" w:lineRule="auto"/>
        <w:tabs>
          <w:tab w:leader="none" w:pos="1757"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an EEA Resolution Authority to any such liabilities arising hereunder which may be payable to it by any Lender that is an EEA Financial Institution; and</w:t>
      </w:r>
    </w:p>
    <w:p>
      <w:pPr>
        <w:spacing w:after="0" w:line="159" w:lineRule="exact"/>
        <w:rPr>
          <w:rFonts w:ascii="Times New Roman" w:cs="Times New Roman" w:eastAsia="Times New Roman" w:hAnsi="Times New Roman"/>
          <w:sz w:val="20"/>
          <w:szCs w:val="20"/>
          <w:color w:val="auto"/>
        </w:rPr>
      </w:pPr>
    </w:p>
    <w:p>
      <w:pPr>
        <w:ind w:left="1760" w:hanging="276"/>
        <w:spacing w:after="0"/>
        <w:tabs>
          <w:tab w:leader="none" w:pos="17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240" w:hanging="228"/>
        <w:spacing w:after="0"/>
        <w:tabs>
          <w:tab w:leader="none" w:pos="224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40" w:right="20" w:firstLine="472"/>
        <w:spacing w:after="0" w:line="249" w:lineRule="auto"/>
        <w:tabs>
          <w:tab w:leader="none" w:pos="2314"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1540" w:right="20" w:firstLine="472"/>
        <w:spacing w:after="0" w:line="269" w:lineRule="auto"/>
        <w:tabs>
          <w:tab w:leader="none" w:pos="236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any EEA Resolution Authority.</w:t>
      </w:r>
    </w:p>
    <w:p>
      <w:pPr>
        <w:spacing w:after="0" w:line="159" w:lineRule="exact"/>
        <w:rPr>
          <w:sz w:val="20"/>
          <w:szCs w:val="20"/>
          <w:color w:val="auto"/>
        </w:rPr>
      </w:pPr>
    </w:p>
    <w:p>
      <w:pPr>
        <w:jc w:val="both"/>
        <w:ind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 xml:space="preserve">Section 9.21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800" w:hanging="316"/>
        <w:spacing w:after="0"/>
        <w:tabs>
          <w:tab w:leader="none" w:pos="1800" w:val="left"/>
        </w:tabs>
        <w:numPr>
          <w:ilvl w:val="1"/>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w:t>
      </w:r>
    </w:p>
    <w:p>
      <w:pPr>
        <w:spacing w:after="0" w:line="21" w:lineRule="exact"/>
        <w:rPr>
          <w:rFonts w:ascii="Times New Roman" w:cs="Times New Roman" w:eastAsia="Times New Roman" w:hAnsi="Times New Roman"/>
          <w:sz w:val="20"/>
          <w:szCs w:val="20"/>
          <w:color w:val="auto"/>
        </w:rPr>
      </w:pPr>
    </w:p>
    <w:p>
      <w:pPr>
        <w:jc w:val="both"/>
        <w:ind w:left="760" w:right="20" w:firstLine="7"/>
        <w:spacing w:after="0" w:line="242" w:lineRule="auto"/>
        <w:tabs>
          <w:tab w:leader="none" w:pos="106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covenants, from the date such Person became a Lender party hereto to the date such Person ceases being a Lender party hereto, for the benefit of the Administrative Agent, the Arrangers and their respective Affiliates, and not, for the avoidance of doubt, to or for the benefit of the Borrower or any other Loan Party, that at least one of the following is and will be true:</w:t>
      </w:r>
    </w:p>
    <w:p>
      <w:pPr>
        <w:spacing w:after="0" w:line="186" w:lineRule="exact"/>
        <w:rPr>
          <w:rFonts w:ascii="Times New Roman" w:cs="Times New Roman" w:eastAsia="Times New Roman" w:hAnsi="Times New Roman"/>
          <w:sz w:val="20"/>
          <w:szCs w:val="20"/>
          <w:color w:val="auto"/>
        </w:rPr>
      </w:pPr>
    </w:p>
    <w:p>
      <w:pPr>
        <w:jc w:val="both"/>
        <w:ind w:left="1540" w:right="20" w:firstLine="472"/>
        <w:spacing w:after="0" w:line="254" w:lineRule="auto"/>
        <w:tabs>
          <w:tab w:leader="none" w:pos="2253" w:val="left"/>
        </w:tabs>
        <w:numPr>
          <w:ilvl w:val="2"/>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Revolving Commitments or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ectPr>
          <w:pgSz w:w="11900" w:h="16838" w:orient="portrait"/>
          <w:cols w:equalWidth="0" w:num="1">
            <w:col w:w="11020"/>
          </w:cols>
          <w:pgMar w:left="440" w:top="265" w:right="439" w:bottom="1440" w:gutter="0" w:footer="0" w:header="0"/>
        </w:sectPr>
      </w:pPr>
    </w:p>
    <w:bookmarkStart w:id="144" w:name="page145"/>
    <w:bookmarkEnd w:id="144"/>
    <w:p>
      <w:pPr>
        <w:jc w:val="both"/>
        <w:ind w:left="773" w:firstLine="472"/>
        <w:spacing w:after="0" w:line="243" w:lineRule="auto"/>
        <w:tabs>
          <w:tab w:leader="none" w:pos="1553"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189" w:lineRule="exact"/>
        <w:rPr>
          <w:rFonts w:ascii="Times New Roman" w:cs="Times New Roman" w:eastAsia="Times New Roman" w:hAnsi="Times New Roman"/>
          <w:sz w:val="20"/>
          <w:szCs w:val="20"/>
          <w:color w:val="auto"/>
        </w:rPr>
      </w:pPr>
    </w:p>
    <w:p>
      <w:pPr>
        <w:jc w:val="both"/>
        <w:ind w:left="773" w:right="20" w:firstLine="472"/>
        <w:spacing w:after="0" w:line="243" w:lineRule="auto"/>
        <w:tabs>
          <w:tab w:leader="none" w:pos="1622"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85" w:lineRule="exact"/>
        <w:rPr>
          <w:rFonts w:ascii="Times New Roman" w:cs="Times New Roman" w:eastAsia="Times New Roman" w:hAnsi="Times New Roman"/>
          <w:sz w:val="20"/>
          <w:szCs w:val="20"/>
          <w:color w:val="auto"/>
        </w:rPr>
      </w:pPr>
    </w:p>
    <w:p>
      <w:pPr>
        <w:ind w:left="773" w:firstLine="472"/>
        <w:spacing w:after="0" w:line="269" w:lineRule="auto"/>
        <w:tabs>
          <w:tab w:leader="none" w:pos="1601" w:val="left"/>
        </w:tabs>
        <w:numPr>
          <w:ilvl w:val="2"/>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ind w:left="993" w:hanging="276"/>
        <w:spacing w:after="0"/>
        <w:tabs>
          <w:tab w:leader="none" w:pos="993"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addition, unless either (1)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in the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is true with respect to a Lender or</w:t>
      </w:r>
    </w:p>
    <w:p>
      <w:pPr>
        <w:spacing w:after="0" w:line="33" w:lineRule="exact"/>
        <w:rPr>
          <w:rFonts w:ascii="Times New Roman" w:cs="Times New Roman" w:eastAsia="Times New Roman" w:hAnsi="Times New Roman"/>
          <w:sz w:val="19"/>
          <w:szCs w:val="19"/>
          <w:color w:val="auto"/>
        </w:rPr>
      </w:pPr>
    </w:p>
    <w:p>
      <w:pPr>
        <w:jc w:val="both"/>
        <w:ind w:left="-7" w:right="20" w:firstLine="7"/>
        <w:spacing w:after="0"/>
        <w:tabs>
          <w:tab w:leader="none" w:pos="28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any Arranger or any of their respective Affiliates is a fiduciary with respect to the assets of such Lender involved in such Lender’s entrance into, participation in, administration of and performance of the Loans, the Letters of Credit, the Revolving Commitments and this Agreement (including in connection with the reservation or exercise of any rights by the Administrative Agent under this Agreement, any Loan Document or any documents related hereto or thereto).</w:t>
      </w:r>
    </w:p>
    <w:p>
      <w:pPr>
        <w:spacing w:after="0" w:line="190" w:lineRule="exact"/>
        <w:rPr>
          <w:sz w:val="20"/>
          <w:szCs w:val="20"/>
          <w:color w:val="auto"/>
        </w:rPr>
      </w:pPr>
    </w:p>
    <w:p>
      <w:pPr>
        <w:ind w:left="713"/>
        <w:spacing w:after="0"/>
        <w:rPr>
          <w:sz w:val="20"/>
          <w:szCs w:val="20"/>
          <w:color w:val="auto"/>
        </w:rPr>
      </w:pPr>
      <w:r>
        <w:rPr>
          <w:rFonts w:ascii="Times New Roman" w:cs="Times New Roman" w:eastAsia="Times New Roman" w:hAnsi="Times New Roman"/>
          <w:sz w:val="20"/>
          <w:szCs w:val="20"/>
          <w:color w:val="auto"/>
        </w:rPr>
        <w:t xml:space="preserve">Section 9.22 </w:t>
      </w:r>
      <w:r>
        <w:rPr>
          <w:rFonts w:ascii="Times New Roman" w:cs="Times New Roman" w:eastAsia="Times New Roman" w:hAnsi="Times New Roman"/>
          <w:sz w:val="20"/>
          <w:szCs w:val="20"/>
          <w:u w:val="single" w:color="auto"/>
          <w:color w:val="auto"/>
        </w:rPr>
        <w:t>Recognition of the U.S. Special Resolution Regimes.</w:t>
      </w:r>
    </w:p>
    <w:p>
      <w:pPr>
        <w:spacing w:after="0" w:line="216" w:lineRule="exact"/>
        <w:rPr>
          <w:sz w:val="20"/>
          <w:szCs w:val="20"/>
          <w:color w:val="auto"/>
        </w:rPr>
      </w:pPr>
    </w:p>
    <w:p>
      <w:pPr>
        <w:jc w:val="both"/>
        <w:ind w:left="-7" w:firstLine="724"/>
        <w:spacing w:after="0" w:line="266" w:lineRule="auto"/>
        <w:tabs>
          <w:tab w:leader="none" w:pos="1020"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any Lender that is a Covered Entity becomes subject to a proceeding under a U.S. Special Resolution Regime, the transfer from such Lender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98" w:lineRule="exact"/>
        <w:rPr>
          <w:sz w:val="20"/>
          <w:szCs w:val="20"/>
          <w:color w:val="auto"/>
        </w:rPr>
      </w:pPr>
    </w:p>
    <w:p>
      <w:pPr>
        <w:ind w:left="4573"/>
        <w:spacing w:after="0"/>
        <w:rPr>
          <w:sz w:val="20"/>
          <w:szCs w:val="20"/>
          <w:color w:val="auto"/>
        </w:rPr>
      </w:pPr>
      <w:r>
        <w:rPr>
          <w:rFonts w:ascii="Times New Roman" w:cs="Times New Roman" w:eastAsia="Times New Roman" w:hAnsi="Times New Roman"/>
          <w:sz w:val="14"/>
          <w:szCs w:val="14"/>
          <w:color w:val="auto"/>
        </w:rPr>
        <w:t>-132-</w:t>
      </w:r>
    </w:p>
    <w:p>
      <w:pPr>
        <w:sectPr>
          <w:pgSz w:w="11900" w:h="16838" w:orient="portrait"/>
          <w:cols w:equalWidth="0" w:num="1">
            <w:col w:w="10253"/>
          </w:cols>
          <w:pgMar w:left="1207" w:top="265" w:right="439" w:bottom="1440" w:gutter="0" w:footer="0" w:header="0"/>
        </w:sectPr>
      </w:pPr>
    </w:p>
    <w:bookmarkStart w:id="145" w:name="page146"/>
    <w:bookmarkEnd w:id="145"/>
    <w:p>
      <w:pPr>
        <w:jc w:val="both"/>
        <w:ind w:left="760" w:firstLine="724"/>
        <w:spacing w:after="0" w:line="249" w:lineRule="auto"/>
        <w:tabs>
          <w:tab w:leader="none" w:pos="1771"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Lender that is a Covered Entity or a BHC Act Affiliate of such Lender becomes subject to a proceeding under a U.S. Special Resolution Regime, Default Rights under this Agreement that may be exercised against such Lender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For purposes of this Section 9.22:</w:t>
      </w:r>
    </w:p>
    <w:p>
      <w:pPr>
        <w:spacing w:after="0" w:line="216" w:lineRule="exact"/>
        <w:rPr>
          <w:sz w:val="20"/>
          <w:szCs w:val="20"/>
          <w:color w:val="auto"/>
        </w:rPr>
      </w:pPr>
    </w:p>
    <w:p>
      <w:pPr>
        <w:ind w:left="760" w:right="20" w:firstLine="71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has the meaning assigned to the term “affiliate” in, and shall be interpreted in accordance with, 12 U.S.C. § 1841(k).</w:t>
      </w:r>
    </w:p>
    <w:p>
      <w:pPr>
        <w:spacing w:after="0" w:line="15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2240" w:hanging="228"/>
        <w:spacing w:after="0"/>
        <w:tabs>
          <w:tab w:leader="none" w:pos="224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2300" w:hanging="288"/>
        <w:spacing w:after="0"/>
        <w:tabs>
          <w:tab w:leader="none" w:pos="230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2360" w:hanging="348"/>
        <w:spacing w:after="0"/>
        <w:tabs>
          <w:tab w:leader="none" w:pos="236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16" w:lineRule="exact"/>
        <w:rPr>
          <w:sz w:val="20"/>
          <w:szCs w:val="20"/>
          <w:color w:val="auto"/>
        </w:rPr>
      </w:pPr>
    </w:p>
    <w:p>
      <w:pPr>
        <w:jc w:val="both"/>
        <w:ind w:left="760" w:right="20" w:firstLine="717"/>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760" w:right="20" w:firstLine="717"/>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ARTICLE X.</w:t>
      </w:r>
    </w:p>
    <w:p>
      <w:pPr>
        <w:spacing w:after="0" w:line="2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color w:val="auto"/>
        </w:rPr>
        <w:t>GUARANTY</w:t>
      </w:r>
    </w:p>
    <w:p>
      <w:pPr>
        <w:spacing w:after="0" w:line="194" w:lineRule="exact"/>
        <w:rPr>
          <w:sz w:val="20"/>
          <w:szCs w:val="20"/>
          <w:color w:val="auto"/>
        </w:rPr>
      </w:pPr>
    </w:p>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t xml:space="preserve">Section 10.01 </w:t>
      </w:r>
      <w:r>
        <w:rPr>
          <w:rFonts w:ascii="Times New Roman" w:cs="Times New Roman" w:eastAsia="Times New Roman" w:hAnsi="Times New Roman"/>
          <w:sz w:val="20"/>
          <w:szCs w:val="20"/>
          <w:u w:val="single" w:color="auto"/>
          <w:color w:val="auto"/>
        </w:rPr>
        <w:t>The Guaranty</w:t>
      </w:r>
      <w:r>
        <w:rPr>
          <w:rFonts w:ascii="Times New Roman" w:cs="Times New Roman" w:eastAsia="Times New Roman" w:hAnsi="Times New Roman"/>
          <w:sz w:val="20"/>
          <w:szCs w:val="20"/>
          <w:color w:val="auto"/>
        </w:rPr>
        <w:t>. Each Guarantor hereby jointly and severally with the other Guarantors guarantees, as a primary obligor and not merely as a surety to each Secured Party and their respective successors and assigns, the prompt payment in full when due (whether at stated maturity, by required prepayment, declaration, demand, by acceleration or otherwise) of the principal of and interest (including any interest, fees, costs or charges that would accrue but for the provisions of (i) Title 11 of the United States Code after any bankruptcy or insolvency petition under Title 11 of the United States Code and (ii) any other debtor relief laws) on the Loans made by the Lenders to the Borrower, and all other Obligations (other than with respect to any Guarantor, Excluded Swap Obligations of such Guarantor) from time to time owing to the Secured Parties by the Borrower or any of its Subsidiaries under any Loan Document or any Secured Hedge Agreement or any Treasury Services Agreement, in each case strictly in accordance with the terms thereof (such obligations being herein collectively called the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 The Guarantors hereby jointly and severally agree that if the Borrower or other Guarantor(s) shall fail to pay in full when due (whether at stated maturity, by acceleration or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ectPr>
          <w:pgSz w:w="11900" w:h="16838" w:orient="portrait"/>
          <w:cols w:equalWidth="0" w:num="1">
            <w:col w:w="11020"/>
          </w:cols>
          <w:pgMar w:left="440" w:top="265" w:right="439" w:bottom="1440" w:gutter="0" w:footer="0" w:header="0"/>
        </w:sectPr>
      </w:pPr>
    </w:p>
    <w:bookmarkStart w:id="146" w:name="page147"/>
    <w:bookmarkEnd w:id="146"/>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80" w:lineRule="exact"/>
        <w:rPr>
          <w:sz w:val="20"/>
          <w:szCs w:val="20"/>
          <w:color w:val="auto"/>
        </w:rPr>
      </w:pPr>
    </w:p>
    <w:p>
      <w:pPr>
        <w:jc w:val="both"/>
        <w:ind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10.02 </w:t>
      </w:r>
      <w:r>
        <w:rPr>
          <w:rFonts w:ascii="Times New Roman" w:cs="Times New Roman" w:eastAsia="Times New Roman" w:hAnsi="Times New Roman"/>
          <w:sz w:val="20"/>
          <w:szCs w:val="20"/>
          <w:u w:val="single" w:color="auto"/>
          <w:color w:val="auto"/>
        </w:rPr>
        <w:t>Obligations Unconditional</w:t>
      </w:r>
      <w:r>
        <w:rPr>
          <w:rFonts w:ascii="Times New Roman" w:cs="Times New Roman" w:eastAsia="Times New Roman" w:hAnsi="Times New Roman"/>
          <w:sz w:val="20"/>
          <w:szCs w:val="20"/>
          <w:color w:val="auto"/>
        </w:rPr>
        <w:t xml:space="preserve">. The obligations of the Guarantors under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shall constitute a guarantee of payment and to the fullest extent permitted by applicable Law, are absolute, irrevocable and unconditional, joint and several, irrespective of the value, genuineness, validity, regularity or enforceability of the Guaranteed Obligations of the Borrower under this Agreement, the Secured Hedge Agreements, the Treasury Services Agreements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the Guarantors hereunder which shall remain absolute, irrevocable and unconditional under any and all circumstances as described above:</w:t>
      </w:r>
    </w:p>
    <w:p>
      <w:pPr>
        <w:spacing w:after="0" w:line="186" w:lineRule="exact"/>
        <w:rPr>
          <w:sz w:val="20"/>
          <w:szCs w:val="20"/>
          <w:color w:val="auto"/>
        </w:rPr>
      </w:pPr>
    </w:p>
    <w:p>
      <w:pPr>
        <w:jc w:val="both"/>
        <w:ind w:left="1540" w:right="20" w:firstLine="472"/>
        <w:spacing w:after="0" w:line="254" w:lineRule="auto"/>
        <w:tabs>
          <w:tab w:leader="none" w:pos="225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or from time to time, without notice to the Guarantors, to the extent permitted by Law, the time for any performance of or compliance with any of the Guaranteed Obligations shall be extended, or such performance or compliance shall be waived;</w:t>
      </w:r>
    </w:p>
    <w:p>
      <w:pPr>
        <w:spacing w:after="0" w:line="174" w:lineRule="exact"/>
        <w:rPr>
          <w:rFonts w:ascii="Times New Roman" w:cs="Times New Roman" w:eastAsia="Times New Roman" w:hAnsi="Times New Roman"/>
          <w:sz w:val="20"/>
          <w:szCs w:val="20"/>
          <w:color w:val="auto"/>
        </w:rPr>
      </w:pPr>
    </w:p>
    <w:p>
      <w:pPr>
        <w:ind w:left="1540" w:right="20" w:firstLine="472"/>
        <w:spacing w:after="0" w:line="269" w:lineRule="auto"/>
        <w:tabs>
          <w:tab w:leader="none" w:pos="23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acts mentioned in any of the provisions of this Agreement or any other agreement or instrument referred to herein or therein shall be done or omitted;</w:t>
      </w:r>
    </w:p>
    <w:p>
      <w:pPr>
        <w:spacing w:after="0" w:line="159" w:lineRule="exact"/>
        <w:rPr>
          <w:rFonts w:ascii="Times New Roman" w:cs="Times New Roman" w:eastAsia="Times New Roman" w:hAnsi="Times New Roman"/>
          <w:sz w:val="20"/>
          <w:szCs w:val="20"/>
          <w:color w:val="auto"/>
        </w:rPr>
      </w:pPr>
    </w:p>
    <w:p>
      <w:pPr>
        <w:jc w:val="both"/>
        <w:ind w:left="1540" w:firstLine="472"/>
        <w:spacing w:after="0" w:line="246" w:lineRule="auto"/>
        <w:tabs>
          <w:tab w:leader="none" w:pos="2363"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of any of the Guaranteed Obligations shall be accelerated, or any of the Guaranteed Obligations shall be amended in any respect, or any right under the Loan Documents or any other agreement or instrument referred to herein or therein shall be amended or waived in any respect or any other guarantee of any of the Guaranteed Obligations or except as permitted under this Agreement any security therefor shall be released or exchanged in whole or in part or otherwise dealt with;</w:t>
      </w:r>
    </w:p>
    <w:p>
      <w:pPr>
        <w:spacing w:after="0" w:line="184" w:lineRule="exact"/>
        <w:rPr>
          <w:rFonts w:ascii="Times New Roman" w:cs="Times New Roman" w:eastAsia="Times New Roman" w:hAnsi="Times New Roman"/>
          <w:sz w:val="20"/>
          <w:szCs w:val="20"/>
          <w:color w:val="auto"/>
        </w:rPr>
      </w:pPr>
    </w:p>
    <w:p>
      <w:pPr>
        <w:ind w:left="1540" w:right="20" w:firstLine="472"/>
        <w:spacing w:after="0" w:line="269" w:lineRule="auto"/>
        <w:tabs>
          <w:tab w:leader="none" w:pos="2372"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or security interest granted to, or in favor of, an Issuing Bank or any Lender or Agent Party as security for any of the Guaranteed Obligations shall fail to be perfected; or</w:t>
      </w:r>
    </w:p>
    <w:p>
      <w:pPr>
        <w:spacing w:after="0" w:line="159" w:lineRule="exact"/>
        <w:rPr>
          <w:rFonts w:ascii="Times New Roman" w:cs="Times New Roman" w:eastAsia="Times New Roman" w:hAnsi="Times New Roman"/>
          <w:sz w:val="20"/>
          <w:szCs w:val="20"/>
          <w:color w:val="auto"/>
        </w:rPr>
      </w:pPr>
    </w:p>
    <w:p>
      <w:pPr>
        <w:ind w:left="2300" w:hanging="288"/>
        <w:spacing w:after="0"/>
        <w:tabs>
          <w:tab w:leader="none" w:pos="23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release of any other Guarantor pursuant to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71"/>
        <w:spacing w:after="0" w:line="243" w:lineRule="auto"/>
        <w:rPr>
          <w:sz w:val="20"/>
          <w:szCs w:val="20"/>
          <w:color w:val="auto"/>
        </w:rPr>
      </w:pPr>
      <w:r>
        <w:rPr>
          <w:rFonts w:ascii="Times New Roman" w:cs="Times New Roman" w:eastAsia="Times New Roman" w:hAnsi="Times New Roman"/>
          <w:sz w:val="20"/>
          <w:szCs w:val="20"/>
          <w:color w:val="auto"/>
        </w:rPr>
        <w:t>The Guarantors hereby expressly waive diligence, presentment, demand of payment, protest and, to the extent permitted by law, all notices whatsoever, and any requirement that any Secured Party exhaust any right, power or remedy or proceed against the Borrower under this Agreement, the Secured Hedge Agreements, the Treasury Services Agreements or any other agreement or instrument referred to herein or therein, or against any other person under any other guarantee of, or security for, any of the Guaranteed Obligations. The Guarantors waive, to the extent permitted by law, any and all notice of the creation, renewal, extension, waiver, termination or accrual of any of the Guaranteed Obligations and notice of or proof of reliance by any Secured Party upon this Guaranty or acceptance of this Guaranty, and the Guaranteed Obligations, and any of them, shall conclusively be deemed to have been created, contracted or incurred in reliance upon this Guaranty, and all dealings between the Borrower and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ectPr>
          <w:pgSz w:w="11900" w:h="16838" w:orient="portrait"/>
          <w:cols w:equalWidth="0" w:num="1">
            <w:col w:w="11020"/>
          </w:cols>
          <w:pgMar w:left="440" w:top="265" w:right="439" w:bottom="1440" w:gutter="0" w:footer="0" w:header="0"/>
        </w:sectPr>
      </w:pPr>
    </w:p>
    <w:bookmarkStart w:id="147" w:name="page148"/>
    <w:bookmarkEnd w:id="147"/>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Secured Parties shall likewise be conclusively presumed to have been had or consummated in reliance upon this Guaranty. This Guaranty shall be construed as a continuing, absolute, irrevocable and unconditional guarantee of payment without regard to any right of offset with respect to the Guaranteed Obligations at any time or from time to time held by Secured Parties, and the obligations and liabilities of the Guarantors hereunder shall not be conditioned or contingent upon the pursuit by the Secured Parties or any other person at any time of any right or remedy against the Borrower or against any other person which may be or become liable in respect of all or any part of the Guaranteed Obligations or against any collateral security or guarantee therefor or right of offset with respect thereto. This Guaranty shall remain in full force and effect and be binding in accordance with and to the extent of its terms upon the Guarantors and the successors and assigns thereof, and shall inure to the benefit of the Lenders, and their respective successors and assigns, notwithstanding that from time to time during the term of this Agreement there may be no Guaranteed Obligations outstanding.</w:t>
      </w:r>
    </w:p>
    <w:p>
      <w:pPr>
        <w:spacing w:after="0" w:line="186" w:lineRule="exact"/>
        <w:rPr>
          <w:sz w:val="20"/>
          <w:szCs w:val="20"/>
          <w:color w:val="auto"/>
        </w:rPr>
      </w:pPr>
    </w:p>
    <w:p>
      <w:pPr>
        <w:jc w:val="both"/>
        <w:ind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10.03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xml:space="preserve">. The obligations of the Guarantors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be automatically reinstated if and to the extent that for any reason any payment by or on behalf of the Borrower or other Loan Party in respect of the Guaranteed Obligations is rescinded or must be otherwise restored by any holder of any of the Guaranteed Obligations, whether as a result of any proceedings in insolvency, bankruptcy or reorganization or otherwise.</w:t>
      </w:r>
    </w:p>
    <w:p>
      <w:pPr>
        <w:spacing w:after="0" w:line="180" w:lineRule="exact"/>
        <w:rPr>
          <w:sz w:val="20"/>
          <w:szCs w:val="20"/>
          <w:color w:val="auto"/>
        </w:rPr>
      </w:pPr>
    </w:p>
    <w:p>
      <w:pPr>
        <w:jc w:val="both"/>
        <w:ind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Section 10.04 </w:t>
      </w:r>
      <w:r>
        <w:rPr>
          <w:rFonts w:ascii="Times New Roman" w:cs="Times New Roman" w:eastAsia="Times New Roman" w:hAnsi="Times New Roman"/>
          <w:sz w:val="20"/>
          <w:szCs w:val="20"/>
          <w:u w:val="single" w:color="auto"/>
          <w:color w:val="auto"/>
        </w:rPr>
        <w:t>Subrogation</w:t>
      </w:r>
      <w:r>
        <w:rPr>
          <w:rFonts w:ascii="Times New Roman" w:cs="Times New Roman" w:eastAsia="Times New Roman" w:hAnsi="Times New Roman"/>
          <w:sz w:val="20"/>
          <w:szCs w:val="20"/>
          <w:color w:val="auto"/>
        </w:rPr>
        <w:t xml:space="preserve">. Each Guarantor hereby agrees that until the payment and satisfaction in full in cash of all Guaranteed Obligations (other than (x) obligations under Secured Hedge Agreements and Treasury Services Agreements not yet due and payable and (y) contingent indemnification obligations not yet accrued and payable) and the expiration or termination of the Commitments of the Lenders under this Agreement, it shall waive any claim and shall not exercise any right or remedy, direct or indirect, arising by reason of any performance by it of its guarantee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whether by subrogation or otherwise, against the Borrower or any other Guarantor of any of the Guaranteed Obligations or any security for any of the Guaranteed Obligations.</w:t>
      </w:r>
    </w:p>
    <w:p>
      <w:pPr>
        <w:spacing w:after="0" w:line="184" w:lineRule="exact"/>
        <w:rPr>
          <w:sz w:val="20"/>
          <w:szCs w:val="20"/>
          <w:color w:val="auto"/>
        </w:rPr>
      </w:pPr>
    </w:p>
    <w:p>
      <w:pPr>
        <w:jc w:val="both"/>
        <w:ind w:firstLine="1542"/>
        <w:spacing w:after="0" w:line="244" w:lineRule="auto"/>
        <w:rPr>
          <w:sz w:val="20"/>
          <w:szCs w:val="20"/>
          <w:color w:val="auto"/>
        </w:rPr>
      </w:pPr>
      <w:r>
        <w:rPr>
          <w:rFonts w:ascii="Times New Roman" w:cs="Times New Roman" w:eastAsia="Times New Roman" w:hAnsi="Times New Roman"/>
          <w:sz w:val="20"/>
          <w:szCs w:val="20"/>
          <w:color w:val="auto"/>
        </w:rPr>
        <w:t xml:space="preserve">Section 10.05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xml:space="preserve">. The Guarantors jointly and severally agree that, as between the Guarantors and the Lenders, the obligations of the Borrower under this Agreement may be declared to be forthwith due and payable as provided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(and shall be deemed to have become automatically due and payable in the circumstances provided in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notwithstanding any stay, injunction or other prohibition preventing such declaration (or such obligations from becoming automatically due and payable) as against the Borrower and that, in the event of such declaration (or such obligations being deemed to have become automatically due and payable), such obligations (whether or not due and payable by the Borrower) shall forthwith become due and payable by the Guarantors for purposes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jc w:val="both"/>
        <w:ind w:firstLine="1542"/>
        <w:spacing w:after="0" w:line="249" w:lineRule="auto"/>
        <w:rPr>
          <w:sz w:val="20"/>
          <w:szCs w:val="20"/>
          <w:color w:val="auto"/>
        </w:rPr>
      </w:pPr>
      <w:r>
        <w:rPr>
          <w:rFonts w:ascii="Times New Roman" w:cs="Times New Roman" w:eastAsia="Times New Roman" w:hAnsi="Times New Roman"/>
          <w:sz w:val="20"/>
          <w:szCs w:val="20"/>
          <w:color w:val="auto"/>
        </w:rPr>
        <w:t xml:space="preserve">Section 10.06 </w:t>
      </w:r>
      <w:r>
        <w:rPr>
          <w:rFonts w:ascii="Times New Roman" w:cs="Times New Roman" w:eastAsia="Times New Roman" w:hAnsi="Times New Roman"/>
          <w:sz w:val="20"/>
          <w:szCs w:val="20"/>
          <w:u w:val="single" w:color="auto"/>
          <w:color w:val="auto"/>
        </w:rPr>
        <w:t>Instrument for the Payment of Money</w:t>
      </w:r>
      <w:r>
        <w:rPr>
          <w:rFonts w:ascii="Times New Roman" w:cs="Times New Roman" w:eastAsia="Times New Roman" w:hAnsi="Times New Roman"/>
          <w:sz w:val="20"/>
          <w:szCs w:val="20"/>
          <w:color w:val="auto"/>
        </w:rPr>
        <w:t xml:space="preserve">. Each Guarantor hereby acknowledges that the guarantee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constitutes an instrument for the payment of money, and consents and agrees that any Lender or Agent Party, at its sole option, in the event of a dispute by such Guarantor in the payment of any moneys due hereunder, shall have the right to bring a motion-action under New York CPLR Section 3213.</w:t>
      </w:r>
    </w:p>
    <w:p>
      <w:pPr>
        <w:spacing w:after="0" w:line="288" w:lineRule="exact"/>
        <w:rPr>
          <w:sz w:val="20"/>
          <w:szCs w:val="20"/>
          <w:color w:val="auto"/>
        </w:rPr>
      </w:pPr>
    </w:p>
    <w:p>
      <w:pPr>
        <w:jc w:val="both"/>
        <w:ind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Section 10.07 </w:t>
      </w:r>
      <w:r>
        <w:rPr>
          <w:rFonts w:ascii="Times New Roman" w:cs="Times New Roman" w:eastAsia="Times New Roman" w:hAnsi="Times New Roman"/>
          <w:sz w:val="20"/>
          <w:szCs w:val="20"/>
          <w:u w:val="single" w:color="auto"/>
          <w:color w:val="auto"/>
        </w:rPr>
        <w:t>Continuing Guaranty</w:t>
      </w:r>
      <w:r>
        <w:rPr>
          <w:rFonts w:ascii="Times New Roman" w:cs="Times New Roman" w:eastAsia="Times New Roman" w:hAnsi="Times New Roman"/>
          <w:sz w:val="20"/>
          <w:szCs w:val="20"/>
          <w:color w:val="auto"/>
        </w:rPr>
        <w:t xml:space="preserve">. The guarantee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is a continuing guarantee of payment, and shall apply to all Guaranteed Obligations whenever arising.</w:t>
      </w:r>
    </w:p>
    <w:p>
      <w:pPr>
        <w:spacing w:after="0" w:line="267" w:lineRule="exact"/>
        <w:rPr>
          <w:sz w:val="20"/>
          <w:szCs w:val="20"/>
          <w:color w:val="auto"/>
        </w:rPr>
      </w:pPr>
    </w:p>
    <w:p>
      <w:pPr>
        <w:jc w:val="both"/>
        <w:ind w:firstLine="1542"/>
        <w:spacing w:after="0" w:line="254" w:lineRule="auto"/>
        <w:rPr>
          <w:sz w:val="20"/>
          <w:szCs w:val="20"/>
          <w:color w:val="auto"/>
        </w:rPr>
      </w:pPr>
      <w:r>
        <w:rPr>
          <w:rFonts w:ascii="Times New Roman" w:cs="Times New Roman" w:eastAsia="Times New Roman" w:hAnsi="Times New Roman"/>
          <w:sz w:val="20"/>
          <w:szCs w:val="20"/>
          <w:color w:val="auto"/>
        </w:rPr>
        <w:t xml:space="preserve">Section 10.08 </w:t>
      </w:r>
      <w:r>
        <w:rPr>
          <w:rFonts w:ascii="Times New Roman" w:cs="Times New Roman" w:eastAsia="Times New Roman" w:hAnsi="Times New Roman"/>
          <w:sz w:val="20"/>
          <w:szCs w:val="20"/>
          <w:u w:val="single" w:color="auto"/>
          <w:color w:val="auto"/>
        </w:rPr>
        <w:t>General Limitation on Guarantee Obligations</w:t>
      </w:r>
      <w:r>
        <w:rPr>
          <w:rFonts w:ascii="Times New Roman" w:cs="Times New Roman" w:eastAsia="Times New Roman" w:hAnsi="Times New Roman"/>
          <w:sz w:val="20"/>
          <w:szCs w:val="20"/>
          <w:color w:val="auto"/>
        </w:rPr>
        <w:t>. In any action or proceeding involving any state corporate, limited partnership or limited liability company law, or any applicable state, federal or foreign bankruptcy, insolvency, reorganization or other Law affecting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ectPr>
          <w:pgSz w:w="11900" w:h="16838" w:orient="portrait"/>
          <w:cols w:equalWidth="0" w:num="1">
            <w:col w:w="11020"/>
          </w:cols>
          <w:pgMar w:left="440" w:top="265" w:right="439" w:bottom="1440" w:gutter="0" w:footer="0" w:header="0"/>
        </w:sectPr>
      </w:pPr>
    </w:p>
    <w:bookmarkStart w:id="148" w:name="page149"/>
    <w:bookmarkEnd w:id="148"/>
    <w:p>
      <w:pPr>
        <w:jc w:val="both"/>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of creditors generally, if the obligations of any Guarantor under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would otherwise be held or determined to be void, voidable, invalid or unenforceable, or subordinated to the claims of any other creditors, on account of the amount of its liability under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then, notwithstanding any other provision to the contrary, the amount of such liability shall, without any further action by such Guarantor, any Loan Party or any other person, be automatically limited and reduced to the highest amount (after giving effect to the right of contribution established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that is valid and enforceable and not subordinated to the claims of other creditors as determined in such action or proceeding.</w:t>
      </w:r>
    </w:p>
    <w:p>
      <w:pPr>
        <w:spacing w:after="0" w:line="292" w:lineRule="exact"/>
        <w:rPr>
          <w:sz w:val="20"/>
          <w:szCs w:val="20"/>
          <w:color w:val="auto"/>
        </w:rPr>
      </w:pPr>
    </w:p>
    <w:p>
      <w:pPr>
        <w:jc w:val="both"/>
        <w:ind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Section 10.09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Guarantor assumes all responsibility for being and keeping itself informed of the Borrower’s financial condition and assets, and of all other circumstances bearing upon the risk of nonpayment of the Guaranteed Obligations and the nature, scope and extent of the risks that each Guarantor assumes and incurs under this Guaranty, and agrees that none of any Agent Party, any Issuing Bank or any Lender shall have any duty to advise any Guarantor of information known to it regarding those circumstances or risks.</w:t>
      </w:r>
    </w:p>
    <w:p>
      <w:pPr>
        <w:spacing w:after="0" w:line="293" w:lineRule="exact"/>
        <w:rPr>
          <w:sz w:val="20"/>
          <w:szCs w:val="20"/>
          <w:color w:val="auto"/>
        </w:rPr>
      </w:pPr>
    </w:p>
    <w:p>
      <w:pPr>
        <w:jc w:val="both"/>
        <w:ind w:firstLine="1542"/>
        <w:spacing w:after="0" w:line="243"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Release of Guarantors</w:t>
      </w:r>
      <w:r>
        <w:rPr>
          <w:rFonts w:ascii="Times New Roman" w:cs="Times New Roman" w:eastAsia="Times New Roman" w:hAnsi="Times New Roman"/>
          <w:sz w:val="20"/>
          <w:szCs w:val="20"/>
          <w:color w:val="auto"/>
        </w:rPr>
        <w:t xml:space="preserve">. If, in compliance with the terms and provisions of the Loan Documents, any Guarantor ceases to be a Restricted Subsidiary or (subject to the proviso in the definition of “Excluded Subsidiaries”) becomes an Excluded Subsidiary, such Guarantor shall, upon the consummation of such transaction resulting in such Subsidiary ceasing to be a Restricted Subsidiary or (subject to the proviso in the definition of “Excluded Subsidiaries”) becoming an Excluded Subsidiary, as applicable, be automatically released from its obligations under this Agreement (including under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hereof) and its obligations to pledge and grant any Collateral owned by it pursuant to any Collateral Document shall be automatically released, and, so long as the Borrower shall have provided the Administrative Agent such certifications or documents as the Administrative Agent shall reasonably request, the Administrative Agent and the Collateral Agent shall, at such Guarantor’s expense, take such actions as are necessary to effect each release described in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in accordance with the relevant provisions of the Collateral Documents.</w:t>
      </w:r>
    </w:p>
    <w:p>
      <w:pPr>
        <w:spacing w:after="0" w:line="186" w:lineRule="exact"/>
        <w:rPr>
          <w:sz w:val="20"/>
          <w:szCs w:val="20"/>
          <w:color w:val="auto"/>
        </w:rPr>
      </w:pPr>
    </w:p>
    <w:p>
      <w:pPr>
        <w:jc w:val="both"/>
        <w:ind w:right="20" w:firstLine="771"/>
        <w:spacing w:after="0" w:line="243" w:lineRule="auto"/>
        <w:rPr>
          <w:sz w:val="20"/>
          <w:szCs w:val="20"/>
          <w:color w:val="auto"/>
        </w:rPr>
      </w:pPr>
      <w:r>
        <w:rPr>
          <w:rFonts w:ascii="Times New Roman" w:cs="Times New Roman" w:eastAsia="Times New Roman" w:hAnsi="Times New Roman"/>
          <w:sz w:val="20"/>
          <w:szCs w:val="20"/>
          <w:color w:val="auto"/>
        </w:rPr>
        <w:t>When all Commitments hereunder have terminated, and all Loans or other Obligations (other than obligations under Treasury Services Agreements or Secured Hedge Agreements) hereunder which are accrued and payable have been paid or satisfied, and no Letter of Credit remains outstanding (except any Letter of Credit which has been Cash Collateralized or for which a backstop letter of credit reasonably satisfactory to the applicable Issuing Bank has been put in place), this Agreement, the other Loan Documents and the guarantees made herein shall terminate with respect to all Obligations, except with respect to Obligations that expressly survive such repayment pursuant to the terms of this Agreement or the other Loan Documents. The Collateral Agent shall, at each Guarantor’s expense, take such actions as are necessary to release any Collateral owned by such Guarantor in accordance with the relevant provisions of the Collateral Documents.</w:t>
      </w:r>
    </w:p>
    <w:p>
      <w:pPr>
        <w:spacing w:after="0" w:line="297" w:lineRule="exact"/>
        <w:rPr>
          <w:sz w:val="20"/>
          <w:szCs w:val="20"/>
          <w:color w:val="auto"/>
        </w:rPr>
      </w:pPr>
    </w:p>
    <w:p>
      <w:pPr>
        <w:jc w:val="both"/>
        <w:ind w:right="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Right of Contribution</w:t>
      </w:r>
      <w:r>
        <w:rPr>
          <w:rFonts w:ascii="Times New Roman" w:cs="Times New Roman" w:eastAsia="Times New Roman" w:hAnsi="Times New Roman"/>
          <w:sz w:val="20"/>
          <w:szCs w:val="20"/>
          <w:color w:val="auto"/>
        </w:rPr>
        <w:t xml:space="preserve">.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in no respect limit the obligations and liabilities of any Guarantor to the Administrative Agent, the Issuing Bank, the Swing Line Lender and the Lenders, and each Guarantor shall remain liable to the Administrative Agent, the Issuing Bank, the Swing Line Lender and the Lenders for the full amount guaranteed by such Guarantor hereunder.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ectPr>
          <w:pgSz w:w="11900" w:h="16838" w:orient="portrait"/>
          <w:cols w:equalWidth="0" w:num="1">
            <w:col w:w="11020"/>
          </w:cols>
          <w:pgMar w:left="440" w:top="265" w:right="439" w:bottom="1440" w:gutter="0" w:footer="0" w:header="0"/>
        </w:sectPr>
      </w:pPr>
    </w:p>
    <w:bookmarkStart w:id="149" w:name="page150"/>
    <w:bookmarkEnd w:id="149"/>
    <w:p>
      <w:pPr>
        <w:jc w:val="both"/>
        <w:ind w:firstLine="1542"/>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Times New Roman" w:cs="Times New Roman" w:eastAsia="Times New Roman" w:hAnsi="Times New Roman"/>
          <w:sz w:val="20"/>
          <w:szCs w:val="20"/>
          <w:u w:val="single" w:color="auto"/>
          <w:color w:val="auto"/>
        </w:rPr>
        <w:t>Cross-Guaranty</w:t>
      </w:r>
      <w:r>
        <w:rPr>
          <w:rFonts w:ascii="Times New Roman" w:cs="Times New Roman" w:eastAsia="Times New Roman" w:hAnsi="Times New Roman"/>
          <w:sz w:val="20"/>
          <w:szCs w:val="20"/>
          <w:color w:val="auto"/>
        </w:rPr>
        <w:t>. Each Qualified ECP Guarantor hereby jointly and severally, absolutely, unconditionally and irrevocably undertakes to provide such funds or other support to each Specified Guarantor as may be needed by such Specified Guarantor from time to time to honor all of its obligations under its Guaranty and the other Loan Documents in respect of any Swap Obligation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each Qualified ECP Guarantor shall only be liable under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for up to the maximum amount of such liability that can be hereby incurred without rendering such Qualified ECP Guarantor’s obligations and undertakings under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voidable under applicable law relating to fraudulent conveyance or fraudulent transfer, and not for any greater amount). The obligations and undertakings of each Qualified ECP Guarantor under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shall remain in full force and effect until the Obligations have been indefeasibly paid and performed in full and all Commitments have been terminated. Each Qualified ECP Guarantor intends that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constitute, and this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xml:space="preserve"> shall be deemed to constitute, an agreement for the benefit of each Specified Guarantor for all purposes of the Commodity Exchange Act.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remainder of this page has been left intentionally blank]</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sectPr>
      <w:pgSz w:w="11900" w:h="16838" w:orient="portrait"/>
      <w:cols w:equalWidth="0" w:num="1">
        <w:col w:w="11020"/>
      </w:cols>
      <w:pgMar w:left="440" w:top="2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
      <w:numFmt w:val="bullet"/>
      <w:start w:val="1"/>
    </w:lvl>
  </w:abstractNum>
  <w:abstractNum w:abstractNumId="1">
    <w:nsid w:val="488AC1A"/>
    <w:multiLevelType w:val="hybridMultilevel"/>
    <w:lvl w:ilvl="0">
      <w:lvlJc w:val="left"/>
      <w:lvlText w:val="(%1)"/>
      <w:numFmt w:val="lowerLetter"/>
      <w:start w:val="4"/>
    </w:lvl>
  </w:abstractNum>
  <w:abstractNum w:abstractNumId="2">
    <w:nsid w:val="5FB8011C"/>
    <w:multiLevelType w:val="hybridMultilevel"/>
    <w:lvl w:ilvl="0">
      <w:lvlJc w:val="left"/>
      <w:lvlText w:val="(%1)"/>
      <w:numFmt w:val="lowerLetter"/>
      <w:start w:val="1"/>
    </w:lvl>
  </w:abstractNum>
  <w:abstractNum w:abstractNumId="3">
    <w:nsid w:val="6AA78F7F"/>
    <w:multiLevelType w:val="hybridMultilevel"/>
    <w:lvl w:ilvl="0">
      <w:lvlJc w:val="left"/>
      <w:lvlText w:val="(%1)"/>
      <w:numFmt w:val="lowerLetter"/>
      <w:start w:val="3"/>
    </w:lvl>
  </w:abstractNum>
  <w:abstractNum w:abstractNumId="4">
    <w:nsid w:val="7672BD23"/>
    <w:multiLevelType w:val="hybridMultilevel"/>
    <w:lvl w:ilvl="0">
      <w:lvlJc w:val="left"/>
      <w:lvlText w:val="(%1)"/>
      <w:numFmt w:val="lowerLetter"/>
      <w:start w:val="1"/>
    </w:lvl>
  </w:abstractNum>
  <w:abstractNum w:abstractNumId="5">
    <w:nsid w:val="6FC75AF8"/>
    <w:multiLevelType w:val="hybridMultilevel"/>
    <w:lvl w:ilvl="0">
      <w:lvlJc w:val="left"/>
      <w:lvlText w:val="1"/>
      <w:numFmt w:val="bullet"/>
      <w:start w:val="1"/>
    </w:lvl>
  </w:abstractNum>
  <w:abstractNum w:abstractNumId="6">
    <w:nsid w:val="6A5F7029"/>
    <w:multiLevelType w:val="hybridMultilevel"/>
    <w:lvl w:ilvl="0">
      <w:lvlJc w:val="left"/>
      <w:lvlText w:val="(%1)"/>
      <w:numFmt w:val="lowerLetter"/>
      <w:start w:val="1"/>
    </w:lvl>
  </w:abstractNum>
  <w:abstractNum w:abstractNumId="7">
    <w:nsid w:val="7D5E18F8"/>
    <w:multiLevelType w:val="hybridMultilevel"/>
    <w:lvl w:ilvl="0">
      <w:lvlJc w:val="left"/>
      <w:lvlText w:val="(%1)"/>
      <w:numFmt w:val="lowerLetter"/>
      <w:start w:val="2"/>
    </w:lvl>
  </w:abstractNum>
  <w:abstractNum w:abstractNumId="8">
    <w:nsid w:val="5F3534A4"/>
    <w:multiLevelType w:val="hybridMultilevel"/>
    <w:lvl w:ilvl="0">
      <w:lvlJc w:val="left"/>
      <w:lvlText w:val="(%1)"/>
      <w:numFmt w:val="lowerLetter"/>
      <w:start w:val="35"/>
    </w:lvl>
  </w:abstractNum>
  <w:abstractNum w:abstractNumId="9">
    <w:nsid w:val="73A1821B"/>
    <w:multiLevelType w:val="hybridMultilevel"/>
    <w:lvl w:ilvl="0">
      <w:lvlJc w:val="left"/>
      <w:lvlText w:val="(%1)"/>
      <w:numFmt w:val="lowerLetter"/>
      <w:start w:val="1"/>
    </w:lvl>
  </w:abstractNum>
  <w:abstractNum w:abstractNumId="10">
    <w:nsid w:val="7DE67713"/>
    <w:multiLevelType w:val="hybridMultilevel"/>
    <w:lvl w:ilvl="0">
      <w:lvlJc w:val="left"/>
      <w:lvlText w:val="(%1)"/>
      <w:numFmt w:val="lowerLetter"/>
      <w:start w:val="2"/>
    </w:lvl>
  </w:abstractNum>
  <w:abstractNum w:abstractNumId="11">
    <w:nsid w:val="555C55B5"/>
    <w:multiLevelType w:val="hybridMultilevel"/>
    <w:lvl w:ilvl="0">
      <w:lvlJc w:val="left"/>
      <w:lvlText w:val="(%1)"/>
      <w:numFmt w:val="lowerLetter"/>
      <w:start w:val="1"/>
    </w:lvl>
  </w:abstractNum>
  <w:abstractNum w:abstractNumId="12">
    <w:nsid w:val="3FA62ACA"/>
    <w:multiLevelType w:val="hybridMultilevel"/>
    <w:lvl w:ilvl="0">
      <w:lvlJc w:val="left"/>
      <w:lvlText w:val="(%1)"/>
      <w:numFmt w:val="lowerLetter"/>
      <w:start w:val="4"/>
    </w:lvl>
  </w:abstractNum>
  <w:abstractNum w:abstractNumId="13">
    <w:nsid w:val="14FCE74E"/>
    <w:multiLevelType w:val="hybridMultilevel"/>
    <w:lvl w:ilvl="0">
      <w:lvlJc w:val="left"/>
      <w:lvlText w:val="%1"/>
      <w:numFmt w:val="lowerLetter"/>
      <w:start w:val="1"/>
    </w:lvl>
    <w:lvl w:ilvl="1">
      <w:lvlJc w:val="left"/>
      <w:lvlText w:val="(%2)"/>
      <w:numFmt w:val="lowerLetter"/>
      <w:start w:val="13"/>
    </w:lvl>
  </w:abstractNum>
  <w:abstractNum w:abstractNumId="14">
    <w:nsid w:val="6A3DD3E8"/>
    <w:multiLevelType w:val="hybridMultilevel"/>
    <w:lvl w:ilvl="0">
      <w:lvlJc w:val="left"/>
      <w:lvlText w:val="(%1)"/>
      <w:numFmt w:val="lowerLetter"/>
      <w:start w:val="12"/>
    </w:lvl>
    <w:lvl w:ilvl="1">
      <w:lvlJc w:val="left"/>
      <w:lvlText w:val="%2"/>
      <w:numFmt w:val="lowerLetter"/>
      <w:start w:val="1"/>
    </w:lvl>
  </w:abstractNum>
  <w:abstractNum w:abstractNumId="15">
    <w:nsid w:val="71C91298"/>
    <w:multiLevelType w:val="hybridMultilevel"/>
    <w:lvl w:ilvl="0">
      <w:lvlJc w:val="left"/>
      <w:lvlText w:val="(%1)"/>
      <w:numFmt w:val="lowerLetter"/>
      <w:start w:val="1"/>
    </w:lvl>
  </w:abstractNum>
  <w:abstractNum w:abstractNumId="16">
    <w:nsid w:val="9DAF632"/>
    <w:multiLevelType w:val="hybridMultilevel"/>
    <w:lvl w:ilvl="0">
      <w:lvlJc w:val="left"/>
      <w:lvlText w:val="(%1)"/>
      <w:numFmt w:val="lowerLetter"/>
      <w:start w:val="1"/>
    </w:lvl>
  </w:abstractNum>
  <w:abstractNum w:abstractNumId="17">
    <w:nsid w:val="53299938"/>
    <w:multiLevelType w:val="hybridMultilevel"/>
    <w:lvl w:ilvl="0">
      <w:lvlJc w:val="left"/>
      <w:lvlText w:val="(%1)"/>
      <w:numFmt w:val="lowerLetter"/>
      <w:start w:val="4"/>
    </w:lvl>
  </w:abstractNum>
  <w:abstractNum w:abstractNumId="18">
    <w:nsid w:val="1FBFE8E0"/>
    <w:multiLevelType w:val="hybridMultilevel"/>
    <w:lvl w:ilvl="0">
      <w:lvlJc w:val="left"/>
      <w:lvlText w:val="(%1)"/>
      <w:numFmt w:val="upperLetter"/>
      <w:start w:val="1"/>
    </w:lvl>
  </w:abstractNum>
  <w:abstractNum w:abstractNumId="19">
    <w:nsid w:val="5092CA79"/>
    <w:multiLevelType w:val="hybridMultilevel"/>
    <w:lvl w:ilvl="0">
      <w:lvlJc w:val="left"/>
      <w:lvlText w:val="(%1)"/>
      <w:numFmt w:val="upperLetter"/>
      <w:start w:val="2"/>
    </w:lvl>
  </w:abstractNum>
  <w:abstractNum w:abstractNumId="20">
    <w:nsid w:val="1D545C4D"/>
    <w:multiLevelType w:val="hybridMultilevel"/>
    <w:lvl w:ilvl="0">
      <w:lvlJc w:val="left"/>
      <w:lvlText w:val="(%1)"/>
      <w:numFmt w:val="decimal"/>
      <w:start w:val="1"/>
    </w:lvl>
  </w:abstractNum>
  <w:abstractNum w:abstractNumId="21">
    <w:nsid w:val="59ADEA3D"/>
    <w:multiLevelType w:val="hybridMultilevel"/>
    <w:lvl w:ilvl="0">
      <w:lvlJc w:val="left"/>
      <w:lvlText w:val="%1"/>
      <w:numFmt w:val="lowerLetter"/>
      <w:start w:val="1"/>
    </w:lvl>
    <w:lvl w:ilvl="1">
      <w:lvlJc w:val="left"/>
      <w:lvlText w:val="(%2)"/>
      <w:numFmt w:val="lowerLetter"/>
      <w:start w:val="1"/>
    </w:lvl>
  </w:abstractNum>
  <w:abstractNum w:abstractNumId="22">
    <w:nsid w:val="288F1A34"/>
    <w:multiLevelType w:val="hybridMultilevel"/>
    <w:lvl w:ilvl="0">
      <w:lvlJc w:val="left"/>
      <w:lvlText w:val="(%1)"/>
      <w:numFmt w:val="lowerLetter"/>
      <w:start w:val="26"/>
    </w:lvl>
    <w:lvl w:ilvl="1">
      <w:lvlJc w:val="left"/>
      <w:lvlText w:val="(%2)"/>
      <w:numFmt w:val="lowerLetter"/>
      <w:start w:val="2"/>
    </w:lvl>
  </w:abstractNum>
  <w:abstractNum w:abstractNumId="23">
    <w:nsid w:val="2A155DBC"/>
    <w:multiLevelType w:val="hybridMultilevel"/>
    <w:lvl w:ilvl="0">
      <w:lvlJc w:val="left"/>
      <w:lvlText w:val="(%1)"/>
      <w:numFmt w:val="lowerLetter"/>
      <w:start w:val="26"/>
    </w:lvl>
    <w:lvl w:ilvl="1">
      <w:lvlJc w:val="left"/>
      <w:lvlText w:val="%2"/>
      <w:numFmt w:val="lowerLetter"/>
      <w:start w:val="1"/>
    </w:lvl>
  </w:abstractNum>
  <w:abstractNum w:abstractNumId="24">
    <w:nsid w:val="1D9F6E5F"/>
    <w:multiLevelType w:val="hybridMultilevel"/>
    <w:lvl w:ilvl="0">
      <w:lvlJc w:val="left"/>
      <w:lvlText w:val="%1"/>
      <w:numFmt w:val="lowerLetter"/>
      <w:start w:val="1"/>
    </w:lvl>
    <w:lvl w:ilvl="1">
      <w:lvlJc w:val="left"/>
      <w:lvlText w:val="(%2)"/>
      <w:numFmt w:val="lowerLetter"/>
      <w:start w:val="3"/>
    </w:lvl>
  </w:abstractNum>
  <w:abstractNum w:abstractNumId="25">
    <w:nsid w:val="97E1B4E"/>
    <w:multiLevelType w:val="hybridMultilevel"/>
    <w:lvl w:ilvl="0">
      <w:lvlJc w:val="left"/>
      <w:lvlText w:val="(%1)"/>
      <w:numFmt w:val="lowerLetter"/>
      <w:start w:val="9"/>
    </w:lvl>
    <w:lvl w:ilvl="1">
      <w:lvlJc w:val="left"/>
      <w:lvlText w:val="%2"/>
      <w:numFmt w:val="lowerLetter"/>
      <w:start w:val="1"/>
    </w:lvl>
  </w:abstractNum>
  <w:abstractNum w:abstractNumId="26">
    <w:nsid w:val="51088277"/>
    <w:multiLevelType w:val="hybridMultilevel"/>
    <w:lvl w:ilvl="0">
      <w:lvlJc w:val="left"/>
      <w:lvlText w:val="(%1)"/>
      <w:numFmt w:val="lowerLetter"/>
      <w:start w:val="14"/>
    </w:lvl>
  </w:abstractNum>
  <w:abstractNum w:abstractNumId="27">
    <w:nsid w:val="1CA0C5FA"/>
    <w:multiLevelType w:val="hybridMultilevel"/>
    <w:lvl w:ilvl="0">
      <w:lvlJc w:val="left"/>
      <w:lvlText w:val="(%1)"/>
      <w:numFmt w:val="decimal"/>
      <w:start w:val="2"/>
    </w:lvl>
  </w:abstractNum>
  <w:abstractNum w:abstractNumId="28">
    <w:nsid w:val="53584BCB"/>
    <w:multiLevelType w:val="hybridMultilevel"/>
    <w:lvl w:ilvl="0">
      <w:lvlJc w:val="left"/>
      <w:lvlText w:val="(%1)"/>
      <w:numFmt w:val="lowerLetter"/>
      <w:start w:val="1"/>
    </w:lvl>
  </w:abstractNum>
  <w:abstractNum w:abstractNumId="29">
    <w:nsid w:val="415E286C"/>
    <w:multiLevelType w:val="hybridMultilevel"/>
    <w:lvl w:ilvl="0">
      <w:lvlJc w:val="left"/>
      <w:lvlText w:val="(%1)"/>
      <w:numFmt w:val="lowerLetter"/>
      <w:start w:val="1"/>
    </w:lvl>
  </w:abstractNum>
  <w:abstractNum w:abstractNumId="30">
    <w:nsid w:val="7C58FD05"/>
    <w:multiLevelType w:val="hybridMultilevel"/>
    <w:lvl w:ilvl="0">
      <w:lvlJc w:val="left"/>
      <w:lvlText w:val="(%1)"/>
      <w:numFmt w:val="lowerLetter"/>
      <w:start w:val="5"/>
    </w:lvl>
  </w:abstractNum>
  <w:abstractNum w:abstractNumId="31">
    <w:nsid w:val="23D86AAC"/>
    <w:multiLevelType w:val="hybridMultilevel"/>
    <w:lvl w:ilvl="0">
      <w:lvlJc w:val="left"/>
      <w:lvlText w:val="(%1)"/>
      <w:numFmt w:val="lowerLetter"/>
      <w:start w:val="12"/>
    </w:lvl>
    <w:lvl w:ilvl="1">
      <w:lvlJc w:val="left"/>
      <w:lvlText w:val="(%2)"/>
      <w:numFmt w:val="lowerRoman"/>
      <w:start w:val="1"/>
    </w:lvl>
  </w:abstractNum>
  <w:abstractNum w:abstractNumId="32">
    <w:nsid w:val="45E6D486"/>
    <w:multiLevelType w:val="hybridMultilevel"/>
    <w:lvl w:ilvl="0">
      <w:lvlJc w:val="left"/>
      <w:lvlText w:val="(%1)"/>
      <w:numFmt w:val="lowerLetter"/>
      <w:start w:val="17"/>
    </w:lvl>
  </w:abstractNum>
  <w:abstractNum w:abstractNumId="33">
    <w:nsid w:val="5C10FE21"/>
    <w:multiLevelType w:val="hybridMultilevel"/>
    <w:lvl w:ilvl="0">
      <w:lvlJc w:val="left"/>
      <w:lvlText w:val="(%1)"/>
      <w:numFmt w:val="lowerLetter"/>
      <w:start w:val="10"/>
    </w:lvl>
  </w:abstractNum>
  <w:abstractNum w:abstractNumId="34">
    <w:nsid w:val="E7FFA2B"/>
    <w:multiLevelType w:val="hybridMultilevel"/>
    <w:lvl w:ilvl="0">
      <w:lvlJc w:val="left"/>
      <w:lvlText w:val="(%1)"/>
      <w:numFmt w:val="lowerLetter"/>
      <w:start w:val="1"/>
    </w:lvl>
  </w:abstractNum>
  <w:abstractNum w:abstractNumId="35">
    <w:nsid w:val="3C5991AA"/>
    <w:multiLevelType w:val="hybridMultilevel"/>
    <w:lvl w:ilvl="0">
      <w:lvlJc w:val="left"/>
      <w:lvlText w:val="(%1)"/>
      <w:numFmt w:val="lowerLetter"/>
      <w:start w:val="2"/>
    </w:lvl>
  </w:abstractNum>
  <w:abstractNum w:abstractNumId="36">
    <w:nsid w:val="4BD8591A"/>
    <w:multiLevelType w:val="hybridMultilevel"/>
    <w:lvl w:ilvl="0">
      <w:lvlJc w:val="left"/>
      <w:lvlText w:val="(%1)"/>
      <w:numFmt w:val="lowerRoman"/>
      <w:start w:val="1"/>
    </w:lvl>
  </w:abstractNum>
  <w:abstractNum w:abstractNumId="37">
    <w:nsid w:val="78DF6A55"/>
    <w:multiLevelType w:val="hybridMultilevel"/>
    <w:lvl w:ilvl="0">
      <w:lvlJc w:val="left"/>
      <w:lvlText w:val="(%1)"/>
      <w:numFmt w:val="lowerRoman"/>
      <w:start w:val="2"/>
    </w:lvl>
  </w:abstractNum>
  <w:abstractNum w:abstractNumId="38">
    <w:nsid w:val="39B7AAA2"/>
    <w:multiLevelType w:val="hybridMultilevel"/>
    <w:lvl w:ilvl="0">
      <w:lvlJc w:val="left"/>
      <w:lvlText w:val="(%1)"/>
      <w:numFmt w:val="lowerLetter"/>
      <w:start w:val="3"/>
    </w:lvl>
  </w:abstractNum>
  <w:abstractNum w:abstractNumId="39">
    <w:nsid w:val="2B0D8DBE"/>
    <w:multiLevelType w:val="hybridMultilevel"/>
    <w:lvl w:ilvl="0">
      <w:lvlJc w:val="left"/>
      <w:lvlText w:val="(%1)"/>
      <w:numFmt w:val="lowerLetter"/>
      <w:start w:val="35"/>
    </w:lvl>
  </w:abstractNum>
  <w:abstractNum w:abstractNumId="40">
    <w:nsid w:val="6C80EC70"/>
    <w:multiLevelType w:val="hybridMultilevel"/>
    <w:lvl w:ilvl="0">
      <w:lvlJc w:val="left"/>
      <w:lvlText w:val="(%1)"/>
      <w:numFmt w:val="lowerLetter"/>
      <w:start w:val="1"/>
    </w:lvl>
  </w:abstractNum>
  <w:abstractNum w:abstractNumId="41">
    <w:nsid w:val="379E21B5"/>
    <w:multiLevelType w:val="hybridMultilevel"/>
    <w:lvl w:ilvl="0">
      <w:lvlJc w:val="left"/>
      <w:lvlText w:val="(%1)"/>
      <w:numFmt w:val="lowerLetter"/>
      <w:start w:val="2"/>
    </w:lvl>
  </w:abstractNum>
  <w:abstractNum w:abstractNumId="42">
    <w:nsid w:val="69E373"/>
    <w:multiLevelType w:val="hybridMultilevel"/>
    <w:lvl w:ilvl="0">
      <w:lvlJc w:val="left"/>
      <w:lvlText w:val="(%1)"/>
      <w:numFmt w:val="lowerLetter"/>
      <w:start w:val="2"/>
    </w:lvl>
  </w:abstractNum>
  <w:abstractNum w:abstractNumId="43">
    <w:nsid w:val="2C27173B"/>
    <w:multiLevelType w:val="hybridMultilevel"/>
    <w:lvl w:ilvl="0">
      <w:lvlJc w:val="left"/>
      <w:lvlText w:val="(%1)"/>
      <w:numFmt w:val="lowerLetter"/>
      <w:start w:val="35"/>
    </w:lvl>
  </w:abstractNum>
  <w:abstractNum w:abstractNumId="44">
    <w:nsid w:val="4C9B0904"/>
    <w:multiLevelType w:val="hybridMultilevel"/>
    <w:lvl w:ilvl="0">
      <w:lvlJc w:val="left"/>
      <w:lvlText w:val="(%1)"/>
      <w:numFmt w:val="lowerLetter"/>
      <w:start w:val="1"/>
    </w:lvl>
  </w:abstractNum>
  <w:abstractNum w:abstractNumId="45">
    <w:nsid w:val="6AA7B75C"/>
    <w:multiLevelType w:val="hybridMultilevel"/>
    <w:lvl w:ilvl="0">
      <w:lvlJc w:val="left"/>
      <w:lvlText w:val="(%1)"/>
      <w:numFmt w:val="lowerLetter"/>
      <w:start w:val="5"/>
    </w:lvl>
  </w:abstractNum>
  <w:abstractNum w:abstractNumId="46">
    <w:nsid w:val="1DF029D3"/>
    <w:multiLevelType w:val="hybridMultilevel"/>
    <w:lvl w:ilvl="0">
      <w:lvlJc w:val="left"/>
      <w:lvlText w:val="(%1)"/>
      <w:numFmt w:val="lowerLetter"/>
      <w:start w:val="17"/>
    </w:lvl>
  </w:abstractNum>
  <w:abstractNum w:abstractNumId="47">
    <w:nsid w:val="5675FF36"/>
    <w:multiLevelType w:val="hybridMultilevel"/>
    <w:lvl w:ilvl="0">
      <w:lvlJc w:val="left"/>
      <w:lvlText w:val="(%1)"/>
      <w:numFmt w:val="lowerLetter"/>
      <w:start w:val="1"/>
    </w:lvl>
  </w:abstractNum>
  <w:abstractNum w:abstractNumId="48">
    <w:nsid w:val="3DD15094"/>
    <w:multiLevelType w:val="hybridMultilevel"/>
    <w:lvl w:ilvl="0">
      <w:lvlJc w:val="left"/>
      <w:lvlText w:val="(%1)"/>
      <w:numFmt w:val="lowerRoman"/>
      <w:start w:val="2"/>
    </w:lvl>
  </w:abstractNum>
  <w:abstractNum w:abstractNumId="49">
    <w:nsid w:val="3DB012B3"/>
    <w:multiLevelType w:val="hybridMultilevel"/>
    <w:lvl w:ilvl="0">
      <w:lvlJc w:val="left"/>
      <w:lvlText w:val="(%1)"/>
      <w:numFmt w:val="lowerLetter"/>
      <w:start w:val="1"/>
    </w:lvl>
  </w:abstractNum>
  <w:abstractNum w:abstractNumId="50">
    <w:nsid w:val="2708C9AF"/>
    <w:multiLevelType w:val="hybridMultilevel"/>
    <w:lvl w:ilvl="0">
      <w:lvlJc w:val="left"/>
      <w:lvlText w:val="(%1)"/>
      <w:numFmt w:val="upperLetter"/>
      <w:start w:val="1"/>
    </w:lvl>
  </w:abstractNum>
  <w:abstractNum w:abstractNumId="51">
    <w:nsid w:val="5B25ACE2"/>
    <w:multiLevelType w:val="hybridMultilevel"/>
    <w:lvl w:ilvl="0">
      <w:lvlJc w:val="left"/>
      <w:lvlText w:val="(%1)"/>
      <w:numFmt w:val="lowerLetter"/>
      <w:start w:val="1"/>
    </w:lvl>
  </w:abstractNum>
  <w:abstractNum w:abstractNumId="52">
    <w:nsid w:val="175DFCF0"/>
    <w:multiLevelType w:val="hybridMultilevel"/>
    <w:lvl w:ilvl="0">
      <w:lvlJc w:val="left"/>
      <w:lvlText w:val="(%1)"/>
      <w:numFmt w:val="lowerRoman"/>
      <w:start w:val="1"/>
    </w:lvl>
  </w:abstractNum>
  <w:abstractNum w:abstractNumId="53">
    <w:nsid w:val="4F97E3E4"/>
    <w:multiLevelType w:val="hybridMultilevel"/>
    <w:lvl w:ilvl="0">
      <w:lvlJc w:val="left"/>
      <w:lvlText w:val="(%1)"/>
      <w:numFmt w:val="lowerLetter"/>
      <w:start w:val="1"/>
    </w:lvl>
  </w:abstractNum>
  <w:abstractNum w:abstractNumId="54">
    <w:nsid w:val="53B0A9E"/>
    <w:multiLevelType w:val="hybridMultilevel"/>
    <w:lvl w:ilvl="0">
      <w:lvlJc w:val="left"/>
      <w:lvlText w:val="(%1)"/>
      <w:numFmt w:val="lowerLetter"/>
      <w:start w:val="2"/>
    </w:lvl>
  </w:abstractNum>
  <w:abstractNum w:abstractNumId="55">
    <w:nsid w:val="34FD6B4F"/>
    <w:multiLevelType w:val="hybridMultilevel"/>
    <w:lvl w:ilvl="0">
      <w:lvlJc w:val="left"/>
      <w:lvlText w:val="(%1)"/>
      <w:numFmt w:val="lowerLetter"/>
      <w:start w:val="1"/>
    </w:lvl>
  </w:abstractNum>
  <w:abstractNum w:abstractNumId="56">
    <w:nsid w:val="5915FF32"/>
    <w:multiLevelType w:val="hybridMultilevel"/>
    <w:lvl w:ilvl="0">
      <w:lvlJc w:val="left"/>
      <w:lvlText w:val="(%1)"/>
      <w:numFmt w:val="lowerLetter"/>
      <w:start w:val="3"/>
    </w:lvl>
  </w:abstractNum>
  <w:abstractNum w:abstractNumId="57">
    <w:nsid w:val="56438D15"/>
    <w:multiLevelType w:val="hybridMultilevel"/>
    <w:lvl w:ilvl="0">
      <w:lvlJc w:val="left"/>
      <w:lvlText w:val="(%1)"/>
      <w:numFmt w:val="lowerLetter"/>
      <w:start w:val="1"/>
    </w:lvl>
  </w:abstractNum>
  <w:abstractNum w:abstractNumId="58">
    <w:nsid w:val="519E3149"/>
    <w:multiLevelType w:val="hybridMultilevel"/>
    <w:lvl w:ilvl="0">
      <w:lvlJc w:val="left"/>
      <w:lvlText w:val="(%1)"/>
      <w:numFmt w:val="lowerLetter"/>
      <w:start w:val="1"/>
    </w:lvl>
  </w:abstractNum>
  <w:abstractNum w:abstractNumId="59">
    <w:nsid w:val="2C6E4AFD"/>
    <w:multiLevelType w:val="hybridMultilevel"/>
    <w:lvl w:ilvl="0">
      <w:lvlJc w:val="left"/>
      <w:lvlText w:val="(%1)"/>
      <w:numFmt w:val="lowerRoman"/>
      <w:start w:val="2"/>
    </w:lvl>
  </w:abstractNum>
  <w:abstractNum w:abstractNumId="60">
    <w:nsid w:val="17A1B582"/>
    <w:multiLevelType w:val="hybridMultilevel"/>
    <w:lvl w:ilvl="0">
      <w:lvlJc w:val="left"/>
      <w:lvlText w:val="(%1)"/>
      <w:numFmt w:val="lowerLetter"/>
      <w:start w:val="1"/>
    </w:lvl>
  </w:abstractNum>
  <w:abstractNum w:abstractNumId="61">
    <w:nsid w:val="4DF72E4E"/>
    <w:multiLevelType w:val="hybridMultilevel"/>
    <w:lvl w:ilvl="0">
      <w:lvlJc w:val="left"/>
      <w:lvlText w:val="(%1)"/>
      <w:numFmt w:val="lowerLetter"/>
      <w:start w:val="61"/>
    </w:lvl>
    <w:lvl w:ilvl="1">
      <w:lvlJc w:val="left"/>
      <w:lvlText w:val="(%2)"/>
      <w:numFmt w:val="lowerLetter"/>
      <w:start w:val="2"/>
    </w:lvl>
  </w:abstractNum>
  <w:abstractNum w:abstractNumId="62">
    <w:nsid w:val="5046B5A9"/>
    <w:multiLevelType w:val="hybridMultilevel"/>
    <w:lvl w:ilvl="0">
      <w:lvlJc w:val="left"/>
      <w:lvlText w:val="(%1)"/>
      <w:numFmt w:val="lowerLetter"/>
      <w:start w:val="3"/>
    </w:lvl>
  </w:abstractNum>
  <w:abstractNum w:abstractNumId="63">
    <w:nsid w:val="5D888A08"/>
    <w:multiLevelType w:val="hybridMultilevel"/>
    <w:lvl w:ilvl="0">
      <w:lvlJc w:val="left"/>
      <w:lvlText w:val="(%1)"/>
      <w:numFmt w:val="lowerLetter"/>
      <w:start w:val="1"/>
    </w:lvl>
  </w:abstractNum>
  <w:abstractNum w:abstractNumId="64">
    <w:nsid w:val="2A082C70"/>
    <w:multiLevelType w:val="hybridMultilevel"/>
    <w:lvl w:ilvl="0">
      <w:lvlJc w:val="left"/>
      <w:lvlText w:val="(%1)"/>
      <w:numFmt w:val="lowerLetter"/>
      <w:start w:val="3"/>
    </w:lvl>
    <w:lvl w:ilvl="1">
      <w:lvlJc w:val="left"/>
      <w:lvlText w:val="(%2)"/>
      <w:numFmt w:val="lowerRoman"/>
      <w:start w:val="1"/>
    </w:lvl>
  </w:abstractNum>
  <w:abstractNum w:abstractNumId="65">
    <w:nsid w:val="5EC6AFD4"/>
    <w:multiLevelType w:val="hybridMultilevel"/>
    <w:lvl w:ilvl="0">
      <w:lvlJc w:val="left"/>
      <w:lvlText w:val="(%1)"/>
      <w:numFmt w:val="lowerLetter"/>
      <w:start w:val="4"/>
    </w:lvl>
    <w:lvl w:ilvl="1">
      <w:lvlJc w:val="left"/>
      <w:lvlText w:val="(%2)"/>
      <w:numFmt w:val="lowerRoman"/>
      <w:start w:val="1"/>
    </w:lvl>
  </w:abstractNum>
  <w:abstractNum w:abstractNumId="66">
    <w:nsid w:val="19E21BB2"/>
    <w:multiLevelType w:val="hybridMultilevel"/>
    <w:lvl w:ilvl="0">
      <w:lvlJc w:val="left"/>
      <w:lvlText w:val="(%1)"/>
      <w:numFmt w:val="lowerLetter"/>
      <w:start w:val="8"/>
    </w:lvl>
  </w:abstractNum>
  <w:abstractNum w:abstractNumId="67">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8">
    <w:nsid w:val="57A61A29"/>
    <w:multiLevelType w:val="hybridMultilevel"/>
    <w:lvl w:ilvl="0">
      <w:lvlJc w:val="left"/>
      <w:lvlText w:val="(%1)"/>
      <w:numFmt w:val="lowerRoman"/>
      <w:start w:val="6"/>
    </w:lvl>
  </w:abstractNum>
  <w:abstractNum w:abstractNumId="69">
    <w:nsid w:val="5399C654"/>
    <w:multiLevelType w:val="hybridMultilevel"/>
    <w:lvl w:ilvl="0">
      <w:lvlJc w:val="left"/>
      <w:lvlText w:val="(%1)"/>
      <w:numFmt w:val="lowerRoman"/>
      <w:start w:val="8"/>
    </w:lvl>
  </w:abstractNum>
  <w:abstractNum w:abstractNumId="70">
    <w:nsid w:val="20EE1348"/>
    <w:multiLevelType w:val="hybridMultilevel"/>
    <w:lvl w:ilvl="0">
      <w:lvlJc w:val="left"/>
      <w:lvlText w:val="%1"/>
      <w:numFmt w:val="upperLetter"/>
      <w:start w:val="1"/>
    </w:lvl>
    <w:lvl w:ilvl="1">
      <w:lvlJc w:val="left"/>
      <w:lvlText w:val="(%2)"/>
      <w:numFmt w:val="lowerRoman"/>
      <w:start w:val="11"/>
    </w:lvl>
  </w:abstractNum>
  <w:abstractNum w:abstractNumId="71">
    <w:nsid w:val="4427069A"/>
    <w:multiLevelType w:val="hybridMultilevel"/>
    <w:lvl w:ilvl="0">
      <w:lvlJc w:val="left"/>
      <w:lvlText w:val="(%1)"/>
      <w:numFmt w:val="upperLetter"/>
      <w:start w:val="1"/>
    </w:lvl>
    <w:lvl w:ilvl="1">
      <w:lvlJc w:val="left"/>
      <w:lvlText w:val="%2"/>
      <w:numFmt w:val="lowerRoman"/>
      <w:start w:val="1"/>
    </w:lvl>
  </w:abstractNum>
  <w:abstractNum w:abstractNumId="72">
    <w:nsid w:val="B37E80A"/>
    <w:multiLevelType w:val="hybridMultilevel"/>
    <w:lvl w:ilvl="0">
      <w:lvlJc w:val="left"/>
      <w:lvlText w:val="(%1)"/>
      <w:numFmt w:val="upperLetter"/>
      <w:start w:val="3"/>
    </w:lvl>
    <w:lvl w:ilvl="1">
      <w:lvlJc w:val="left"/>
      <w:lvlText w:val="%2"/>
      <w:numFmt w:val="lowerRoman"/>
      <w:start w:val="1"/>
    </w:lvl>
  </w:abstractNum>
  <w:abstractNum w:abstractNumId="73">
    <w:nsid w:val="2157F6BC"/>
    <w:multiLevelType w:val="hybridMultilevel"/>
    <w:lvl w:ilvl="0">
      <w:lvlJc w:val="left"/>
      <w:lvlText w:val="%1"/>
      <w:numFmt w:val="lowerLetter"/>
      <w:start w:val="1"/>
    </w:lvl>
    <w:lvl w:ilvl="1">
      <w:lvlJc w:val="left"/>
      <w:lvlText w:val="(%2)"/>
      <w:numFmt w:val="lowerRoman"/>
      <w:start w:val="15"/>
    </w:lvl>
  </w:abstractNum>
  <w:abstractNum w:abstractNumId="74">
    <w:nsid w:val="704E1DD5"/>
    <w:multiLevelType w:val="hybridMultilevel"/>
    <w:lvl w:ilvl="0">
      <w:lvlJc w:val="left"/>
      <w:lvlText w:val="(%1)"/>
      <w:numFmt w:val="lowerLetter"/>
      <w:start w:val="2"/>
    </w:lvl>
    <w:lvl w:ilvl="1">
      <w:lvlJc w:val="left"/>
      <w:lvlText w:val="(%2)"/>
      <w:numFmt w:val="lowerRoman"/>
      <w:start w:val="1"/>
    </w:lvl>
  </w:abstractNum>
  <w:abstractNum w:abstractNumId="75">
    <w:nsid w:val="57D2F10E"/>
    <w:multiLevelType w:val="hybridMultilevel"/>
    <w:lvl w:ilvl="0">
      <w:lvlJc w:val="left"/>
      <w:lvlText w:val="(%1)"/>
      <w:numFmt w:val="lowerLetter"/>
      <w:start w:val="3"/>
    </w:lvl>
    <w:lvl w:ilvl="1">
      <w:lvlJc w:val="left"/>
      <w:lvlText w:val="(%2)"/>
      <w:numFmt w:val="lowerRoman"/>
      <w:start w:val="1"/>
    </w:lvl>
  </w:abstractNum>
  <w:abstractNum w:abstractNumId="76">
    <w:nsid w:val="BFFAE18"/>
    <w:multiLevelType w:val="hybridMultilevel"/>
    <w:lvl w:ilvl="0">
      <w:lvlJc w:val="left"/>
      <w:lvlText w:val="(%1)"/>
      <w:numFmt w:val="lowerLetter"/>
      <w:start w:val="4"/>
    </w:lvl>
  </w:abstractNum>
  <w:abstractNum w:abstractNumId="77">
    <w:nsid w:val="E3E47A8"/>
    <w:multiLevelType w:val="hybridMultilevel"/>
    <w:lvl w:ilvl="0">
      <w:lvlJc w:val="left"/>
      <w:lvlText w:val="(%1)"/>
      <w:numFmt w:val="lowerLetter"/>
      <w:start w:val="5"/>
    </w:lvl>
  </w:abstractNum>
  <w:abstractNum w:abstractNumId="78">
    <w:nsid w:val="2E48F044"/>
    <w:multiLevelType w:val="hybridMultilevel"/>
    <w:lvl w:ilvl="0">
      <w:lvlJc w:val="left"/>
      <w:lvlText w:val="(%1)"/>
      <w:numFmt w:val="lowerLetter"/>
      <w:start w:val="6"/>
    </w:lvl>
  </w:abstractNum>
  <w:abstractNum w:abstractNumId="79">
    <w:nsid w:val="49D0FEAC"/>
    <w:multiLevelType w:val="hybridMultilevel"/>
    <w:lvl w:ilvl="0">
      <w:lvlJc w:val="left"/>
      <w:lvlText w:val="%1"/>
      <w:numFmt w:val="lowerLetter"/>
      <w:start w:val="1"/>
    </w:lvl>
    <w:lvl w:ilvl="1">
      <w:lvlJc w:val="left"/>
      <w:lvlText w:val="(%2)"/>
      <w:numFmt w:val="lowerLetter"/>
      <w:start w:val="1"/>
    </w:lvl>
  </w:abstractNum>
  <w:abstractNum w:abstractNumId="80">
    <w:nsid w:val="4BEE5A5B"/>
    <w:multiLevelType w:val="hybridMultilevel"/>
    <w:lvl w:ilvl="0">
      <w:lvlJc w:val="left"/>
      <w:lvlText w:val="(%1)"/>
      <w:numFmt w:val="lowerLetter"/>
      <w:start w:val="9"/>
    </w:lvl>
    <w:lvl w:ilvl="1">
      <w:lvlJc w:val="left"/>
      <w:lvlText w:val="(%2)"/>
      <w:numFmt w:val="lowerLetter"/>
      <w:start w:val="3"/>
    </w:lvl>
  </w:abstractNum>
  <w:abstractNum w:abstractNumId="81">
    <w:nsid w:val="5551B9F3"/>
    <w:multiLevelType w:val="hybridMultilevel"/>
    <w:lvl w:ilvl="0">
      <w:lvlJc w:val="left"/>
      <w:lvlText w:val="(%1)"/>
      <w:numFmt w:val="lowerLetter"/>
      <w:start w:val="1"/>
    </w:lvl>
  </w:abstractNum>
  <w:abstractNum w:abstractNumId="82">
    <w:nsid w:val="24F6AB8E"/>
    <w:multiLevelType w:val="hybridMultilevel"/>
    <w:lvl w:ilvl="0">
      <w:lvlJc w:val="left"/>
      <w:lvlText w:val="(%1)"/>
      <w:numFmt w:val="lowerLetter"/>
      <w:start w:val="1"/>
    </w:lvl>
  </w:abstractNum>
  <w:abstractNum w:abstractNumId="83">
    <w:nsid w:val="634C574C"/>
    <w:multiLevelType w:val="hybridMultilevel"/>
    <w:lvl w:ilvl="0">
      <w:lvlJc w:val="left"/>
      <w:lvlText w:val="(%1)"/>
      <w:numFmt w:val="lowerLetter"/>
      <w:start w:val="2"/>
    </w:lvl>
  </w:abstractNum>
  <w:abstractNum w:abstractNumId="84">
    <w:nsid w:val="24E99DD7"/>
    <w:multiLevelType w:val="hybridMultilevel"/>
    <w:lvl w:ilvl="0">
      <w:lvlJc w:val="left"/>
      <w:lvlText w:val="(%1)"/>
      <w:numFmt w:val="lowerLetter"/>
      <w:start w:val="1"/>
    </w:lvl>
  </w:abstractNum>
  <w:abstractNum w:abstractNumId="85">
    <w:nsid w:val="2A31B62D"/>
    <w:multiLevelType w:val="hybridMultilevel"/>
    <w:lvl w:ilvl="0">
      <w:lvlJc w:val="left"/>
      <w:lvlText w:val="(%1)"/>
      <w:numFmt w:val="lowerLetter"/>
      <w:start w:val="2"/>
    </w:lvl>
  </w:abstractNum>
  <w:abstractNum w:abstractNumId="86">
    <w:nsid w:val="1849C29B"/>
    <w:multiLevelType w:val="hybridMultilevel"/>
    <w:lvl w:ilvl="0">
      <w:lvlJc w:val="left"/>
      <w:lvlText w:val="(%1)"/>
      <w:numFmt w:val="lowerLetter"/>
      <w:start w:val="1"/>
    </w:lvl>
  </w:abstractNum>
  <w:abstractNum w:abstractNumId="87">
    <w:nsid w:val="7DFF9D09"/>
    <w:multiLevelType w:val="hybridMultilevel"/>
    <w:lvl w:ilvl="0">
      <w:lvlJc w:val="left"/>
      <w:lvlText w:val="(%1)"/>
      <w:numFmt w:val="lowerLetter"/>
      <w:start w:val="3"/>
    </w:lvl>
  </w:abstractNum>
  <w:abstractNum w:abstractNumId="88">
    <w:nsid w:val="754342"/>
    <w:multiLevelType w:val="hybridMultilevel"/>
    <w:lvl w:ilvl="0">
      <w:lvlJc w:val="left"/>
      <w:lvlText w:val="(%1)"/>
      <w:numFmt w:val="lowerLetter"/>
      <w:start w:val="1"/>
    </w:lvl>
  </w:abstractNum>
  <w:abstractNum w:abstractNumId="89">
    <w:nsid w:val="69E7F3E5"/>
    <w:multiLevelType w:val="hybridMultilevel"/>
    <w:lvl w:ilvl="0">
      <w:lvlJc w:val="left"/>
      <w:lvlText w:val="(%1)"/>
      <w:numFmt w:val="lowerLetter"/>
      <w:start w:val="1"/>
    </w:lvl>
    <w:lvl w:ilvl="1">
      <w:lvlJc w:val="left"/>
      <w:lvlText w:val="(%2)"/>
      <w:numFmt w:val="upperLetter"/>
      <w:start w:val="25"/>
    </w:lvl>
    <w:lvl w:ilvl="2">
      <w:lvlJc w:val="left"/>
      <w:lvlText w:val="(%3)"/>
      <w:numFmt w:val="lowerRoman"/>
      <w:start w:val="1"/>
    </w:lvl>
  </w:abstractNum>
  <w:abstractNum w:abstractNumId="90">
    <w:nsid w:val="2A6DE806"/>
    <w:multiLevelType w:val="hybridMultilevel"/>
    <w:lvl w:ilvl="0">
      <w:lvlJc w:val="left"/>
      <w:lvlText w:val="(%1)"/>
      <w:numFmt w:val="lowerLetter"/>
      <w:start w:val="2"/>
    </w:lvl>
  </w:abstractNum>
  <w:abstractNum w:abstractNumId="91">
    <w:nsid w:val="1816F8C4"/>
    <w:multiLevelType w:val="hybridMultilevel"/>
    <w:lvl w:ilvl="0">
      <w:lvlJc w:val="left"/>
      <w:lvlText w:val="(%1)"/>
      <w:numFmt w:val="lowerLetter"/>
      <w:start w:val="1"/>
    </w:lvl>
  </w:abstractNum>
  <w:abstractNum w:abstractNumId="92">
    <w:nsid w:val="37DF2233"/>
    <w:multiLevelType w:val="hybridMultilevel"/>
    <w:lvl w:ilvl="0">
      <w:lvlJc w:val="left"/>
      <w:lvlText w:val="(%1)"/>
      <w:numFmt w:val="lowerLetter"/>
      <w:start w:val="2"/>
    </w:lvl>
    <w:lvl w:ilvl="1">
      <w:lvlJc w:val="left"/>
      <w:lvlText w:val="(%2)"/>
      <w:numFmt w:val="lowerLetter"/>
      <w:start w:val="35"/>
    </w:lvl>
  </w:abstractNum>
  <w:abstractNum w:abstractNumId="93">
    <w:nsid w:val="7AB49DAF"/>
    <w:multiLevelType w:val="hybridMultilevel"/>
    <w:lvl w:ilvl="0">
      <w:lvlJc w:val="left"/>
      <w:lvlText w:val="(%1)"/>
      <w:numFmt w:val="upperLetter"/>
      <w:start w:val="1"/>
    </w:lvl>
  </w:abstractNum>
  <w:abstractNum w:abstractNumId="94">
    <w:nsid w:val="759F82CD"/>
    <w:multiLevelType w:val="hybridMultilevel"/>
    <w:lvl w:ilvl="0">
      <w:lvlJc w:val="left"/>
      <w:lvlText w:val="%1"/>
      <w:numFmt w:val="lowerRoman"/>
      <w:start w:val="1"/>
    </w:lvl>
    <w:lvl w:ilvl="1">
      <w:lvlJc w:val="left"/>
      <w:lvlText w:val="(%2)"/>
      <w:numFmt w:val="upperLetter"/>
      <w:start w:val="2"/>
    </w:lvl>
  </w:abstractNum>
  <w:abstractNum w:abstractNumId="95">
    <w:nsid w:val="61E74EA3"/>
    <w:multiLevelType w:val="hybridMultilevel"/>
    <w:lvl w:ilvl="0">
      <w:lvlJc w:val="left"/>
      <w:lvlText w:val="(%1)"/>
      <w:numFmt w:val="lowerRoman"/>
      <w:start w:val="3"/>
    </w:lvl>
    <w:lvl w:ilvl="1">
      <w:lvlJc w:val="left"/>
      <w:lvlText w:val="%2"/>
      <w:numFmt w:val="upperLetter"/>
      <w:start w:val="1"/>
    </w:lvl>
  </w:abstractNum>
  <w:abstractNum w:abstractNumId="96">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97">
    <w:nsid w:val="F819E7F"/>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8">
    <w:nsid w:val="57C7D42D"/>
    <w:multiLevelType w:val="hybridMultilevel"/>
    <w:lvl w:ilvl="0">
      <w:lvlJc w:val="left"/>
      <w:lvlText w:val="(%1)"/>
      <w:numFmt w:val="decimal"/>
      <w:start w:val="30"/>
    </w:lvl>
    <w:lvl w:ilvl="1">
      <w:lvlJc w:val="left"/>
      <w:lvlText w:val="(%2)"/>
      <w:numFmt w:val="lowerLetter"/>
      <w:start w:val="8"/>
    </w:lvl>
    <w:lvl w:ilvl="2">
      <w:lvlJc w:val="left"/>
      <w:lvlText w:val="%3"/>
      <w:numFmt w:val="lowerRoman"/>
      <w:start w:val="1"/>
    </w:lvl>
  </w:abstractNum>
  <w:abstractNum w:abstractNumId="99">
    <w:nsid w:val="312167AD"/>
    <w:multiLevelType w:val="hybridMultilevel"/>
    <w:lvl w:ilvl="0">
      <w:lvlJc w:val="left"/>
      <w:lvlText w:val="%1"/>
      <w:numFmt w:val="lowerLetter"/>
      <w:start w:val="1"/>
    </w:lvl>
    <w:lvl w:ilvl="1">
      <w:lvlJc w:val="left"/>
      <w:lvlText w:val="(%2)"/>
      <w:numFmt w:val="lowerLetter"/>
      <w:start w:val="9"/>
    </w:lvl>
  </w:abstractNum>
  <w:abstractNum w:abstractNumId="100">
    <w:nsid w:val="631B64D4"/>
    <w:multiLevelType w:val="hybridMultilevel"/>
    <w:lvl w:ilvl="0">
      <w:lvlJc w:val="left"/>
      <w:lvlText w:val="(%1)"/>
      <w:numFmt w:val="lowerLetter"/>
      <w:start w:val="9"/>
    </w:lvl>
    <w:lvl w:ilvl="1">
      <w:lvlJc w:val="left"/>
      <w:lvlText w:val="(%2)"/>
      <w:numFmt w:val="lowerLetter"/>
      <w:start w:val="10"/>
    </w:lvl>
  </w:abstractNum>
  <w:abstractNum w:abstractNumId="101">
    <w:nsid w:val="78B5E776"/>
    <w:multiLevelType w:val="hybridMultilevel"/>
    <w:lvl w:ilvl="0">
      <w:lvlJc w:val="left"/>
      <w:lvlText w:val="(%1)"/>
      <w:numFmt w:val="lowerLetter"/>
      <w:start w:val="1"/>
    </w:lvl>
  </w:abstractNum>
  <w:abstractNum w:abstractNumId="102">
    <w:nsid w:val="75486E47"/>
    <w:multiLevelType w:val="hybridMultilevel"/>
    <w:lvl w:ilvl="0">
      <w:lvlJc w:val="left"/>
      <w:lvlText w:val="%1"/>
      <w:numFmt w:val="lowerLetter"/>
      <w:start w:val="1"/>
    </w:lvl>
    <w:lvl w:ilvl="1">
      <w:lvlJc w:val="left"/>
      <w:lvlText w:val="(%2)"/>
      <w:numFmt w:val="lowerLetter"/>
      <w:start w:val="2"/>
    </w:lvl>
  </w:abstractNum>
  <w:abstractNum w:abstractNumId="103">
    <w:nsid w:val="6E534CDE"/>
    <w:multiLevelType w:val="hybridMultilevel"/>
    <w:lvl w:ilvl="0">
      <w:lvlJc w:val="left"/>
      <w:lvlText w:val="(%1)"/>
      <w:numFmt w:val="lowerLetter"/>
      <w:start w:val="35"/>
    </w:lvl>
    <w:lvl w:ilvl="1">
      <w:lvlJc w:val="left"/>
      <w:lvlText w:val="(%2)"/>
      <w:numFmt w:val="lowerLetter"/>
      <w:start w:val="4"/>
    </w:lvl>
  </w:abstractNum>
  <w:abstractNum w:abstractNumId="104">
    <w:nsid w:val="1A0DDE32"/>
    <w:multiLevelType w:val="hybridMultilevel"/>
    <w:lvl w:ilvl="0">
      <w:lvlJc w:val="left"/>
      <w:lvlText w:val="(%1)"/>
      <w:numFmt w:val="lowerLetter"/>
      <w:start w:val="5"/>
    </w:lvl>
  </w:abstractNum>
  <w:abstractNum w:abstractNumId="105">
    <w:nsid w:val="65968C1C"/>
    <w:multiLevelType w:val="hybridMultilevel"/>
    <w:lvl w:ilvl="0">
      <w:lvlJc w:val="left"/>
      <w:lvlText w:val="%1"/>
      <w:numFmt w:val="lowerLetter"/>
      <w:start w:val="1"/>
    </w:lvl>
    <w:lvl w:ilvl="1">
      <w:lvlJc w:val="left"/>
      <w:lvlText w:val="(%2)"/>
      <w:numFmt w:val="lowerLetter"/>
      <w:start w:val="1"/>
    </w:lvl>
  </w:abstractNum>
  <w:abstractNum w:abstractNumId="106">
    <w:nsid w:val="46263DEC"/>
    <w:multiLevelType w:val="hybridMultilevel"/>
    <w:lvl w:ilvl="0">
      <w:lvlJc w:val="left"/>
      <w:lvlText w:val="(%1)"/>
      <w:numFmt w:val="lowerLetter"/>
      <w:start w:val="35"/>
    </w:lvl>
    <w:lvl w:ilvl="1">
      <w:lvlJc w:val="left"/>
      <w:lvlText w:val="(%2)"/>
      <w:numFmt w:val="lowerLetter"/>
      <w:start w:val="2"/>
    </w:lvl>
  </w:abstractNum>
  <w:abstractNum w:abstractNumId="107">
    <w:nsid w:val="260D8C4A"/>
    <w:multiLevelType w:val="hybridMultilevel"/>
    <w:lvl w:ilvl="0">
      <w:lvlJc w:val="left"/>
      <w:lvlText w:val="(%1)"/>
      <w:numFmt w:val="lowerLetter"/>
      <w:start w:val="1"/>
    </w:lvl>
  </w:abstractNum>
  <w:abstractNum w:abstractNumId="108">
    <w:nsid w:val="73D4D3C4"/>
    <w:multiLevelType w:val="hybridMultilevel"/>
    <w:lvl w:ilvl="0">
      <w:lvlJc w:val="left"/>
      <w:lvlText w:val="(%1)"/>
      <w:numFmt w:val="lowerLetter"/>
      <w:start w:val="1"/>
    </w:lvl>
  </w:abstractNum>
  <w:abstractNum w:abstractNumId="109">
    <w:nsid w:val="746F2E30"/>
    <w:multiLevelType w:val="hybridMultilevel"/>
    <w:lvl w:ilvl="0">
      <w:lvlJc w:val="left"/>
      <w:lvlText w:val="(%1)"/>
      <w:numFmt w:val="lowerLetter"/>
      <w:start w:val="1"/>
    </w:lvl>
  </w:abstractNum>
  <w:abstractNum w:abstractNumId="110">
    <w:nsid w:val="6FDE8AF6"/>
    <w:multiLevelType w:val="hybridMultilevel"/>
    <w:lvl w:ilvl="0">
      <w:lvlJc w:val="left"/>
      <w:lvlText w:val="(%1)"/>
      <w:numFmt w:val="lowerLetter"/>
      <w:start w:val="1"/>
    </w:lvl>
  </w:abstractNum>
  <w:abstractNum w:abstractNumId="111">
    <w:nsid w:val="3FC32E20"/>
    <w:multiLevelType w:val="hybridMultilevel"/>
    <w:lvl w:ilvl="0">
      <w:lvlJc w:val="left"/>
      <w:lvlText w:val="(%1)"/>
      <w:numFmt w:val="lowerLetter"/>
      <w:start w:val="1"/>
    </w:lvl>
  </w:abstractNum>
  <w:abstractNum w:abstractNumId="112">
    <w:nsid w:val="49C0E823"/>
    <w:multiLevelType w:val="hybridMultilevel"/>
    <w:lvl w:ilvl="0">
      <w:lvlJc w:val="left"/>
      <w:lvlText w:val="(%1)"/>
      <w:numFmt w:val="lowerLetter"/>
      <w:start w:val="1"/>
    </w:lvl>
  </w:abstractNum>
  <w:abstractNum w:abstractNumId="113">
    <w:nsid w:val="14D53685"/>
    <w:multiLevelType w:val="hybridMultilevel"/>
    <w:lvl w:ilvl="0">
      <w:lvlJc w:val="left"/>
      <w:lvlText w:val="(%1)"/>
      <w:numFmt w:val="lowerLetter"/>
      <w:start w:val="1"/>
    </w:lvl>
  </w:abstractNum>
  <w:abstractNum w:abstractNumId="114">
    <w:nsid w:val="230F856C"/>
    <w:multiLevelType w:val="hybridMultilevel"/>
    <w:lvl w:ilvl="0">
      <w:lvlJc w:val="left"/>
      <w:lvlText w:val="(%1)"/>
      <w:numFmt w:val="lowerRoman"/>
      <w:start w:val="1"/>
    </w:lvl>
  </w:abstractNum>
  <w:abstractNum w:abstractNumId="115">
    <w:nsid w:val="6EAA85FB"/>
    <w:multiLevelType w:val="hybridMultilevel"/>
    <w:lvl w:ilvl="0">
      <w:lvlJc w:val="left"/>
      <w:lvlText w:val="(%1)"/>
      <w:numFmt w:val="lowerLetter"/>
      <w:start w:val="1"/>
    </w:lvl>
  </w:abstractNum>
  <w:abstractNum w:abstractNumId="116">
    <w:nsid w:val="3F06ECB2"/>
    <w:multiLevelType w:val="hybridMultilevel"/>
    <w:lvl w:ilvl="0">
      <w:lvlJc w:val="left"/>
      <w:lvlText w:val="(%1)"/>
      <w:numFmt w:val="lowerLetter"/>
      <w:start w:val="1"/>
    </w:lvl>
  </w:abstractNum>
  <w:abstractNum w:abstractNumId="117">
    <w:nsid w:val="3B594807"/>
    <w:multiLevelType w:val="hybridMultilevel"/>
    <w:lvl w:ilvl="0">
      <w:lvlJc w:val="left"/>
      <w:lvlText w:val="(%1)"/>
      <w:numFmt w:val="lowerLetter"/>
      <w:start w:val="2"/>
    </w:lvl>
  </w:abstractNum>
  <w:abstractNum w:abstractNumId="118">
    <w:nsid w:val="6CAA2304"/>
    <w:multiLevelType w:val="hybridMultilevel"/>
    <w:lvl w:ilvl="0">
      <w:lvlJc w:val="left"/>
      <w:lvlText w:val="(%1)"/>
      <w:numFmt w:val="lowerLetter"/>
      <w:start w:val="1"/>
    </w:lvl>
  </w:abstractNum>
  <w:abstractNum w:abstractNumId="119">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0">
    <w:nsid w:val="25413BEC"/>
    <w:multiLevelType w:val="hybridMultilevel"/>
    <w:lvl w:ilvl="0">
      <w:lvlJc w:val="left"/>
      <w:lvlText w:val="%1"/>
      <w:numFmt w:val="lowerLetter"/>
      <w:start w:val="1"/>
    </w:lvl>
    <w:lvl w:ilvl="1">
      <w:lvlJc w:val="left"/>
      <w:lvlText w:val="(%2)"/>
      <w:numFmt w:val="lowerRoman"/>
      <w:start w:val="4"/>
    </w:lvl>
  </w:abstractNum>
  <w:abstractNum w:abstractNumId="121">
    <w:nsid w:val="17180B0B"/>
    <w:multiLevelType w:val="hybridMultilevel"/>
    <w:lvl w:ilvl="0">
      <w:lvlJc w:val="left"/>
      <w:lvlText w:val="(%1)"/>
      <w:numFmt w:val="lowerLetter"/>
      <w:start w:val="2"/>
    </w:lvl>
    <w:lvl w:ilvl="1">
      <w:lvlJc w:val="left"/>
      <w:lvlText w:val="%2"/>
      <w:numFmt w:val="lowerRoman"/>
      <w:start w:val="1"/>
    </w:lvl>
  </w:abstractNum>
  <w:abstractNum w:abstractNumId="122">
    <w:nsid w:val="579328B9"/>
    <w:multiLevelType w:val="hybridMultilevel"/>
    <w:lvl w:ilvl="0">
      <w:lvlJc w:val="left"/>
      <w:lvlText w:val="(%1)"/>
      <w:numFmt w:val="lowerLetter"/>
      <w:start w:val="7"/>
    </w:lvl>
  </w:abstractNum>
  <w:abstractNum w:abstractNumId="123">
    <w:nsid w:val="5D205E20"/>
    <w:multiLevelType w:val="hybridMultilevel"/>
    <w:lvl w:ilvl="0">
      <w:lvlJc w:val="left"/>
      <w:lvlText w:val="(%1)"/>
      <w:numFmt w:val="lowerLetter"/>
      <w:start w:val="1"/>
    </w:lvl>
  </w:abstractNum>
  <w:abstractNum w:abstractNumId="124">
    <w:nsid w:val="11CCA8BA"/>
    <w:multiLevelType w:val="hybridMultilevel"/>
    <w:lvl w:ilvl="0">
      <w:lvlJc w:val="left"/>
      <w:lvlText w:val="(%1)"/>
      <w:numFmt w:val="lowerLetter"/>
      <w:start w:val="1"/>
    </w:lvl>
  </w:abstractNum>
  <w:abstractNum w:abstractNumId="125">
    <w:nsid w:val="4D32AB86"/>
    <w:multiLevelType w:val="hybridMultilevel"/>
    <w:lvl w:ilvl="0">
      <w:lvlJc w:val="left"/>
      <w:lvlText w:val="(%1)"/>
      <w:numFmt w:val="lowerLetter"/>
      <w:start w:val="9"/>
    </w:lvl>
    <w:lvl w:ilvl="1">
      <w:lvlJc w:val="left"/>
      <w:lvlText w:val="(%2)"/>
      <w:numFmt w:val="lowerLetter"/>
      <w:start w:val="2"/>
    </w:lvl>
  </w:abstractNum>
  <w:abstractNum w:abstractNumId="126">
    <w:nsid w:val="3F07ACC3"/>
    <w:multiLevelType w:val="hybridMultilevel"/>
    <w:lvl w:ilvl="0">
      <w:lvlJc w:val="left"/>
      <w:lvlText w:val="%1"/>
      <w:numFmt w:val="lowerLetter"/>
      <w:start w:val="1"/>
    </w:lvl>
    <w:lvl w:ilvl="1">
      <w:lvlJc w:val="left"/>
      <w:lvlText w:val="(%2)"/>
      <w:numFmt w:val="lowerLetter"/>
      <w:start w:val="6"/>
    </w:lvl>
  </w:abstractNum>
  <w:abstractNum w:abstractNumId="127">
    <w:nsid w:val="6B47F63E"/>
    <w:multiLevelType w:val="hybridMultilevel"/>
    <w:lvl w:ilvl="0">
      <w:lvlJc w:val="left"/>
      <w:lvlText w:val="(%1)"/>
      <w:numFmt w:val="lowerLetter"/>
      <w:start w:val="61"/>
    </w:lvl>
    <w:lvl w:ilvl="1">
      <w:lvlJc w:val="left"/>
      <w:lvlText w:val="%2"/>
      <w:numFmt w:val="lowerLetter"/>
      <w:start w:val="1"/>
    </w:lvl>
  </w:abstractNum>
  <w:abstractNum w:abstractNumId="128">
    <w:nsid w:val="5CB44A05"/>
    <w:multiLevelType w:val="hybridMultilevel"/>
    <w:lvl w:ilvl="0">
      <w:lvlJc w:val="left"/>
      <w:lvlText w:val="(%1)"/>
      <w:numFmt w:val="lowerLetter"/>
      <w:start w:val="2"/>
    </w:lvl>
  </w:abstractNum>
  <w:abstractNum w:abstractNumId="129">
    <w:nsid w:val="16CF80F1"/>
    <w:multiLevelType w:val="hybridMultilevel"/>
    <w:lvl w:ilvl="0">
      <w:lvlJc w:val="left"/>
      <w:lvlText w:val="(%1)"/>
      <w:numFmt w:val="lowerLetter"/>
      <w:start w:val="2"/>
    </w:lvl>
  </w:abstractNum>
  <w:abstractNum w:abstractNumId="130">
    <w:nsid w:val="1C695DEC"/>
    <w:multiLevelType w:val="hybridMultilevel"/>
    <w:lvl w:ilvl="0">
      <w:lvlJc w:val="left"/>
      <w:lvlText w:val="(%1)"/>
      <w:numFmt w:val="lowerLetter"/>
      <w:start w:val="1"/>
    </w:lvl>
  </w:abstractNum>
  <w:abstractNum w:abstractNumId="131">
    <w:nsid w:val="3FCFAED9"/>
    <w:multiLevelType w:val="hybridMultilevel"/>
    <w:lvl w:ilvl="0">
      <w:lvlJc w:val="left"/>
      <w:lvlText w:val="(%1)"/>
      <w:numFmt w:val="lowerLetter"/>
      <w:start w:val="1"/>
    </w:lvl>
  </w:abstractNum>
  <w:abstractNum w:abstractNumId="132">
    <w:nsid w:val="F856867"/>
    <w:multiLevelType w:val="hybridMultilevel"/>
    <w:lvl w:ilvl="0">
      <w:lvlJc w:val="left"/>
      <w:lvlText w:val="(%1)"/>
      <w:numFmt w:val="lowerLetter"/>
      <w:start w:val="3"/>
    </w:lvl>
  </w:abstractNum>
  <w:abstractNum w:abstractNumId="133">
    <w:nsid w:val="11B1CC33"/>
    <w:multiLevelType w:val="hybridMultilevel"/>
    <w:lvl w:ilvl="0">
      <w:lvlJc w:val="left"/>
      <w:lvlText w:val="(%1)"/>
      <w:numFmt w:val="lowerLetter"/>
      <w:start w:val="1"/>
    </w:lvl>
    <w:lvl w:ilvl="1">
      <w:lvlJc w:val="left"/>
      <w:lvlText w:val="(%2)"/>
      <w:numFmt w:val="lowerRoman"/>
      <w:start w:val="1"/>
    </w:lvl>
  </w:abstractNum>
  <w:abstractNum w:abstractNumId="134">
    <w:nsid w:val="2E22FBB7"/>
    <w:multiLevelType w:val="hybridMultilevel"/>
    <w:lvl w:ilvl="0">
      <w:lvlJc w:val="left"/>
      <w:lvlText w:val="(%1)"/>
      <w:numFmt w:val="lowerLetter"/>
      <w:start w:val="2"/>
    </w:lvl>
  </w:abstractNum>
  <w:abstractNum w:abstractNumId="135">
    <w:nsid w:val="29934699"/>
    <w:multiLevelType w:val="hybridMultilevel"/>
    <w:lvl w:ilvl="0">
      <w:lvlJc w:val="left"/>
      <w:lvlText w:val="%1"/>
      <w:numFmt w:val="lowerLetter"/>
      <w:start w:val="1"/>
    </w:lvl>
    <w:lvl w:ilvl="1">
      <w:lvlJc w:val="left"/>
      <w:lvlText w:val="(%2)"/>
      <w:numFmt w:val="lowerLetter"/>
      <w:start w:val="12"/>
    </w:lvl>
  </w:abstractNum>
  <w:abstractNum w:abstractNumId="136">
    <w:nsid w:val="77485850"/>
    <w:multiLevelType w:val="hybridMultilevel"/>
    <w:lvl w:ilvl="0">
      <w:lvlJc w:val="left"/>
      <w:lvlText w:val="(%1)"/>
      <w:numFmt w:val="lowerLetter"/>
      <w:start w:val="35"/>
    </w:lvl>
    <w:lvl w:ilvl="1">
      <w:lvlJc w:val="left"/>
      <w:lvlText w:val="(%2)"/>
      <w:numFmt w:val="lowerLetter"/>
      <w:start w:val="13"/>
    </w:lvl>
  </w:abstractNum>
  <w:abstractNum w:abstractNumId="137">
    <w:nsid w:val="744939A3"/>
    <w:multiLevelType w:val="hybridMultilevel"/>
    <w:lvl w:ilvl="0">
      <w:lvlJc w:val="left"/>
      <w:lvlText w:val="(%1)"/>
      <w:numFmt w:val="lowerLetter"/>
      <w:start w:val="21"/>
    </w:lvl>
  </w:abstractNum>
  <w:abstractNum w:abstractNumId="138">
    <w:nsid w:val="4FA0D2E3"/>
    <w:multiLevelType w:val="hybridMultilevel"/>
    <w:lvl w:ilvl="0">
      <w:lvlJc w:val="left"/>
      <w:lvlText w:val="(%1)"/>
      <w:numFmt w:val="lowerLetter"/>
      <w:start w:val="1"/>
    </w:lvl>
  </w:abstractNum>
  <w:abstractNum w:abstractNumId="139">
    <w:nsid w:val="6B1D2C14"/>
    <w:multiLevelType w:val="hybridMultilevel"/>
    <w:lvl w:ilvl="0">
      <w:lvlJc w:val="left"/>
      <w:lvlText w:val="%1"/>
      <w:numFmt w:val="lowerLetter"/>
      <w:start w:val="1"/>
    </w:lvl>
    <w:lvl w:ilvl="1">
      <w:lvlJc w:val="left"/>
      <w:lvlText w:val="(%2)"/>
      <w:numFmt w:val="lowerLetter"/>
      <w:start w:val="8"/>
    </w:lvl>
  </w:abstractNum>
  <w:abstractNum w:abstractNumId="140">
    <w:nsid w:val="68B867D3"/>
    <w:multiLevelType w:val="hybridMultilevel"/>
    <w:lvl w:ilvl="0">
      <w:lvlJc w:val="left"/>
      <w:lvlText w:val="(%1)"/>
      <w:numFmt w:val="lowerLetter"/>
      <w:start w:val="35"/>
    </w:lvl>
    <w:lvl w:ilvl="1">
      <w:lvlJc w:val="left"/>
      <w:lvlText w:val="(%2)"/>
      <w:numFmt w:val="lowerLetter"/>
      <w:start w:val="15"/>
    </w:lvl>
  </w:abstractNum>
  <w:abstractNum w:abstractNumId="141">
    <w:nsid w:val="3F7F5DD9"/>
    <w:multiLevelType w:val="hybridMultilevel"/>
    <w:lvl w:ilvl="0">
      <w:lvlJc w:val="left"/>
      <w:lvlText w:val="%1"/>
      <w:numFmt w:val="lowerLetter"/>
      <w:start w:val="1"/>
    </w:lvl>
    <w:lvl w:ilvl="1">
      <w:lvlJc w:val="left"/>
      <w:lvlText w:val="(%2)"/>
      <w:numFmt w:val="lowerLetter"/>
      <w:start w:val="20"/>
    </w:lvl>
  </w:abstractNum>
  <w:abstractNum w:abstractNumId="142">
    <w:nsid w:val="2AE05A34"/>
    <w:multiLevelType w:val="hybridMultilevel"/>
    <w:lvl w:ilvl="0">
      <w:lvlJc w:val="left"/>
      <w:lvlText w:val="(%1)"/>
      <w:numFmt w:val="lowerLetter"/>
      <w:start w:val="9"/>
    </w:lvl>
    <w:lvl w:ilvl="1">
      <w:lvlJc w:val="left"/>
      <w:lvlText w:val="%2"/>
      <w:numFmt w:val="lowerLetter"/>
      <w:start w:val="1"/>
    </w:lvl>
  </w:abstractNum>
  <w:abstractNum w:abstractNumId="143">
    <w:nsid w:val="32794FF7"/>
    <w:multiLevelType w:val="hybridMultilevel"/>
    <w:lvl w:ilvl="0">
      <w:lvlJc w:val="left"/>
      <w:lvlText w:val="(%1)"/>
      <w:numFmt w:val="lowerLetter"/>
      <w:start w:val="1"/>
    </w:lvl>
  </w:abstractNum>
  <w:abstractNum w:abstractNumId="144">
    <w:nsid w:val="5454945E"/>
    <w:multiLevelType w:val="hybridMultilevel"/>
    <w:lvl w:ilvl="0">
      <w:lvlJc w:val="left"/>
      <w:lvlText w:val="(%1)"/>
      <w:numFmt w:val="lowerLetter"/>
      <w:start w:val="2"/>
    </w:lvl>
  </w:abstractNum>
  <w:abstractNum w:abstractNumId="145">
    <w:nsid w:val="4DEFDFA0"/>
    <w:multiLevelType w:val="hybridMultilevel"/>
    <w:lvl w:ilvl="0">
      <w:lvlJc w:val="left"/>
      <w:lvlText w:val="(%1)"/>
      <w:numFmt w:val="lowerLetter"/>
      <w:start w:val="1"/>
    </w:lvl>
  </w:abstractNum>
  <w:abstractNum w:abstractNumId="146">
    <w:nsid w:val="2123D5F2"/>
    <w:multiLevelType w:val="hybridMultilevel"/>
    <w:lvl w:ilvl="0">
      <w:lvlJc w:val="left"/>
      <w:lvlText w:val="(%1)"/>
      <w:numFmt w:val="lowerLetter"/>
      <w:start w:val="10"/>
    </w:lvl>
  </w:abstractNum>
  <w:abstractNum w:abstractNumId="147">
    <w:nsid w:val="135B811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48">
    <w:nsid w:val="94927A8"/>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9"/>
    </w:lvl>
  </w:abstractNum>
  <w:abstractNum w:abstractNumId="149">
    <w:nsid w:val="DCDF8F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150">
    <w:nsid w:val="52D7B105"/>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151">
    <w:nsid w:val="2E8A6394"/>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152">
    <w:nsid w:val="24E60401"/>
    <w:multiLevelType w:val="hybridMultilevel"/>
    <w:lvl w:ilvl="0">
      <w:lvlJc w:val="left"/>
      <w:lvlText w:val="(%1)"/>
      <w:numFmt w:val="lowerLetter"/>
      <w:start w:val="11"/>
    </w:lvl>
  </w:abstractNum>
  <w:abstractNum w:abstractNumId="153">
    <w:nsid w:val="2A6AD9BE"/>
    <w:multiLevelType w:val="hybridMultilevel"/>
    <w:lvl w:ilvl="0">
      <w:lvlJc w:val="left"/>
      <w:lvlText w:val="(%1)"/>
      <w:numFmt w:val="lowerLetter"/>
      <w:start w:val="7"/>
    </w:lvl>
  </w:abstractNum>
  <w:abstractNum w:abstractNumId="154">
    <w:nsid w:val="BAAC1B4"/>
    <w:multiLevelType w:val="hybridMultilevel"/>
    <w:lvl w:ilvl="0">
      <w:lvlJc w:val="left"/>
      <w:lvlText w:val="(%1)"/>
      <w:numFmt w:val="lowerLetter"/>
      <w:start w:val="11"/>
    </w:lvl>
  </w:abstractNum>
  <w:abstractNum w:abstractNumId="155">
    <w:nsid w:val="36B2ACBC"/>
    <w:multiLevelType w:val="hybridMultilevel"/>
    <w:lvl w:ilvl="0">
      <w:lvlJc w:val="left"/>
      <w:lvlText w:val="(%1)"/>
      <w:numFmt w:val="lowerLetter"/>
      <w:start w:val="1"/>
    </w:lvl>
  </w:abstractNum>
  <w:abstractNum w:abstractNumId="156">
    <w:nsid w:val="779D8544"/>
    <w:multiLevelType w:val="hybridMultilevel"/>
    <w:lvl w:ilvl="0">
      <w:lvlJc w:val="left"/>
      <w:lvlText w:val="%1"/>
      <w:numFmt w:val="lowerLetter"/>
      <w:start w:val="1"/>
    </w:lvl>
    <w:lvl w:ilvl="1">
      <w:lvlJc w:val="left"/>
      <w:lvlText w:val="(%2)"/>
      <w:numFmt w:val="lowerLetter"/>
      <w:start w:val="6"/>
    </w:lvl>
  </w:abstractNum>
  <w:abstractNum w:abstractNumId="157">
    <w:nsid w:val="4AB26E78"/>
    <w:multiLevelType w:val="hybridMultilevel"/>
    <w:lvl w:ilvl="0">
      <w:lvlJc w:val="left"/>
      <w:lvlText w:val="(%1)"/>
      <w:numFmt w:val="lowerLetter"/>
      <w:start w:val="35"/>
    </w:lvl>
    <w:lvl w:ilvl="1">
      <w:lvlJc w:val="left"/>
      <w:lvlText w:val="(%2)"/>
      <w:numFmt w:val="lowerLetter"/>
      <w:start w:val="9"/>
    </w:lvl>
  </w:abstractNum>
  <w:abstractNum w:abstractNumId="158">
    <w:nsid w:val="21FAA2FA"/>
    <w:multiLevelType w:val="hybridMultilevel"/>
    <w:lvl w:ilvl="0">
      <w:lvlJc w:val="left"/>
      <w:lvlText w:val="(%1)"/>
      <w:numFmt w:val="lowerLetter"/>
      <w:start w:val="12"/>
    </w:lvl>
  </w:abstractNum>
  <w:abstractNum w:abstractNumId="159">
    <w:nsid w:val="5451CF49"/>
    <w:multiLevelType w:val="hybridMultilevel"/>
    <w:lvl w:ilvl="0">
      <w:lvlJc w:val="left"/>
      <w:lvlText w:val="(%1)"/>
      <w:numFmt w:val="lowerLetter"/>
      <w:start w:val="1"/>
    </w:lvl>
  </w:abstractNum>
  <w:abstractNum w:abstractNumId="160">
    <w:nsid w:val="6181EF69"/>
    <w:multiLevelType w:val="hybridMultilevel"/>
    <w:lvl w:ilvl="0">
      <w:lvlJc w:val="left"/>
      <w:lvlText w:val="(%1)"/>
      <w:numFmt w:val="lowerLetter"/>
      <w:start w:val="2"/>
    </w:lvl>
  </w:abstractNum>
  <w:abstractNum w:abstractNumId="161">
    <w:nsid w:val="3E6400E6"/>
    <w:multiLevelType w:val="hybridMultilevel"/>
    <w:lvl w:ilvl="0">
      <w:lvlJc w:val="left"/>
      <w:lvlText w:val="(%1)"/>
      <w:numFmt w:val="lowerLetter"/>
      <w:start w:val="1"/>
    </w:lvl>
  </w:abstractNum>
  <w:abstractNum w:abstractNumId="162">
    <w:nsid w:val="14217E23"/>
    <w:multiLevelType w:val="hybridMultilevel"/>
    <w:lvl w:ilvl="0">
      <w:lvlJc w:val="left"/>
      <w:lvlText w:val="(%1)"/>
      <w:numFmt w:val="lowerLetter"/>
      <w:start w:val="1"/>
    </w:lvl>
  </w:abstractNum>
  <w:abstractNum w:abstractNumId="163">
    <w:nsid w:val="710757D0"/>
    <w:multiLevelType w:val="hybridMultilevel"/>
    <w:lvl w:ilvl="0">
      <w:lvlJc w:val="left"/>
      <w:lvlText w:val="(%1)"/>
      <w:numFmt w:val="lowerLetter"/>
      <w:start w:val="3"/>
    </w:lvl>
  </w:abstractNum>
  <w:abstractNum w:abstractNumId="164">
    <w:nsid w:val="5015CD1A"/>
    <w:multiLevelType w:val="hybridMultilevel"/>
    <w:lvl w:ilvl="0">
      <w:lvlJc w:val="left"/>
      <w:lvlText w:val="(%1)"/>
      <w:numFmt w:val="lowerLetter"/>
      <w:start w:val="1"/>
    </w:lvl>
  </w:abstractNum>
  <w:abstractNum w:abstractNumId="165">
    <w:nsid w:val="424479DA"/>
    <w:multiLevelType w:val="hybridMultilevel"/>
    <w:lvl w:ilvl="0">
      <w:lvlJc w:val="left"/>
      <w:lvlText w:val="%1"/>
      <w:numFmt w:val="upperLetter"/>
      <w:start w:val="1"/>
    </w:lvl>
    <w:lvl w:ilvl="1">
      <w:lvlJc w:val="left"/>
      <w:lvlText w:val="(%2)"/>
      <w:numFmt w:val="lowerLetter"/>
      <w:start w:val="2"/>
    </w:lvl>
  </w:abstractNum>
  <w:abstractNum w:abstractNumId="166">
    <w:nsid w:val="1A9A9E69"/>
    <w:multiLevelType w:val="hybridMultilevel"/>
    <w:lvl w:ilvl="0">
      <w:lvlJc w:val="left"/>
      <w:lvlText w:val="(%1)"/>
      <w:numFmt w:val="upperLetter"/>
      <w:start w:val="3"/>
    </w:lvl>
    <w:lvl w:ilvl="1">
      <w:lvlJc w:val="left"/>
      <w:lvlText w:val="%2"/>
      <w:numFmt w:val="lowerLetter"/>
      <w:start w:val="1"/>
    </w:lvl>
  </w:abstractNum>
  <w:abstractNum w:abstractNumId="167">
    <w:nsid w:val="475E256A"/>
    <w:multiLevelType w:val="hybridMultilevel"/>
    <w:lvl w:ilvl="0">
      <w:lvlJc w:val="left"/>
      <w:lvlText w:val="(%1)"/>
      <w:numFmt w:val="lowerLetter"/>
      <w:start w:val="3"/>
    </w:lvl>
  </w:abstractNum>
  <w:abstractNum w:abstractNumId="168">
    <w:nsid w:val="368DB37E"/>
    <w:multiLevelType w:val="hybridMultilevel"/>
    <w:lvl w:ilvl="0">
      <w:lvlJc w:val="left"/>
      <w:lvlText w:val="(%1)"/>
      <w:numFmt w:val="lowerLetter"/>
      <w:start w:val="1"/>
    </w:lvl>
  </w:abstractNum>
  <w:abstractNum w:abstractNumId="169">
    <w:nsid w:val="6A3B714C"/>
    <w:multiLevelType w:val="hybridMultilevel"/>
    <w:lvl w:ilvl="0">
      <w:lvlJc w:val="left"/>
      <w:lvlText w:val="(%1)"/>
      <w:numFmt w:val="lowerLetter"/>
      <w:start w:val="2"/>
    </w:lvl>
  </w:abstractNum>
  <w:abstractNum w:abstractNumId="170">
    <w:nsid w:val="327B517E"/>
    <w:multiLevelType w:val="hybridMultilevel"/>
    <w:lvl w:ilvl="0">
      <w:lvlJc w:val="left"/>
      <w:lvlText w:val="(%1)"/>
      <w:numFmt w:val="lowerLetter"/>
      <w:start w:val="4"/>
    </w:lvl>
  </w:abstractNum>
  <w:abstractNum w:abstractNumId="171">
    <w:nsid w:val="1F461B51"/>
    <w:multiLevelType w:val="hybridMultilevel"/>
    <w:lvl w:ilvl="0">
      <w:lvlJc w:val="left"/>
      <w:lvlText w:val="(%1)"/>
      <w:numFmt w:val="lowerLetter"/>
      <w:start w:val="1"/>
    </w:lvl>
  </w:abstractNum>
  <w:abstractNum w:abstractNumId="172">
    <w:nsid w:val="29BACF25"/>
    <w:multiLevelType w:val="hybridMultilevel"/>
    <w:lvl w:ilvl="0">
      <w:lvlJc w:val="left"/>
      <w:lvlText w:val="(%1)"/>
      <w:numFmt w:val="lowerRoman"/>
      <w:start w:val="2"/>
    </w:lvl>
  </w:abstractNum>
  <w:abstractNum w:abstractNumId="173">
    <w:nsid w:val="5D5BABB3"/>
    <w:multiLevelType w:val="hybridMultilevel"/>
    <w:lvl w:ilvl="0">
      <w:lvlJc w:val="left"/>
      <w:lvlText w:val="(%1)"/>
      <w:numFmt w:val="lowerRoman"/>
      <w:start w:val="3"/>
    </w:lvl>
  </w:abstractNum>
  <w:abstractNum w:abstractNumId="174">
    <w:nsid w:val="51BF6B48"/>
    <w:multiLevelType w:val="hybridMultilevel"/>
    <w:lvl w:ilvl="0">
      <w:lvlJc w:val="left"/>
      <w:lvlText w:val="%1"/>
      <w:numFmt w:val="lowerLetter"/>
      <w:start w:val="1"/>
    </w:lvl>
    <w:lvl w:ilvl="1">
      <w:lvlJc w:val="left"/>
      <w:lvlText w:val="(%2)"/>
      <w:numFmt w:val="lowerRoman"/>
      <w:start w:val="6"/>
    </w:lvl>
  </w:abstractNum>
  <w:abstractNum w:abstractNumId="175">
    <w:nsid w:val="7E0F6384"/>
    <w:multiLevelType w:val="hybridMultilevel"/>
    <w:lvl w:ilvl="0">
      <w:lvlJc w:val="left"/>
      <w:lvlText w:val="(%1)"/>
      <w:numFmt w:val="lowerLetter"/>
      <w:start w:val="4"/>
    </w:lvl>
    <w:lvl w:ilvl="1">
      <w:lvlJc w:val="left"/>
      <w:lvlText w:val="%2"/>
      <w:numFmt w:val="lowerRoman"/>
      <w:start w:val="1"/>
    </w:lvl>
  </w:abstractNum>
  <w:abstractNum w:abstractNumId="176">
    <w:nsid w:val="2B4B8B53"/>
    <w:multiLevelType w:val="hybridMultilevel"/>
    <w:lvl w:ilvl="0">
      <w:lvlJc w:val="left"/>
      <w:lvlText w:val="%1"/>
      <w:numFmt w:val="lowerLetter"/>
      <w:start w:val="1"/>
    </w:lvl>
    <w:lvl w:ilvl="1">
      <w:lvlJc w:val="left"/>
      <w:lvlText w:val="(%2)"/>
      <w:numFmt w:val="lowerLetter"/>
      <w:start w:val="35"/>
    </w:lvl>
  </w:abstractNum>
  <w:abstractNum w:abstractNumId="177">
    <w:nsid w:val="72E3413A"/>
    <w:multiLevelType w:val="hybridMultilevel"/>
    <w:lvl w:ilvl="0">
      <w:lvlJc w:val="left"/>
      <w:lvlText w:val="(%1)"/>
      <w:numFmt w:val="lowerLetter"/>
      <w:start w:val="5"/>
    </w:lvl>
    <w:lvl w:ilvl="1">
      <w:lvlJc w:val="left"/>
      <w:lvlText w:val="%2"/>
      <w:numFmt w:val="lowerLetter"/>
      <w:start w:val="1"/>
    </w:lvl>
  </w:abstractNum>
  <w:abstractNum w:abstractNumId="178">
    <w:nsid w:val="116AE494"/>
    <w:multiLevelType w:val="hybridMultilevel"/>
    <w:lvl w:ilvl="0">
      <w:lvlJc w:val="left"/>
      <w:lvlText w:val="(%1)"/>
      <w:numFmt w:val="lowerLetter"/>
      <w:start w:val="1"/>
    </w:lvl>
  </w:abstractNum>
  <w:abstractNum w:abstractNumId="179">
    <w:nsid w:val="3494B2FB"/>
    <w:multiLevelType w:val="hybridMultilevel"/>
    <w:lvl w:ilvl="0">
      <w:lvlJc w:val="left"/>
      <w:lvlText w:val="%1"/>
      <w:numFmt w:val="lowerLetter"/>
      <w:start w:val="1"/>
    </w:lvl>
    <w:lvl w:ilvl="1">
      <w:lvlJc w:val="left"/>
      <w:lvlText w:val="(%2)"/>
      <w:numFmt w:val="lowerLetter"/>
      <w:start w:val="1"/>
    </w:lvl>
  </w:abstractNum>
  <w:abstractNum w:abstractNumId="180">
    <w:nsid w:val="B13A31"/>
    <w:multiLevelType w:val="hybridMultilevel"/>
    <w:lvl w:ilvl="0">
      <w:lvlJc w:val="left"/>
      <w:lvlText w:val="(%1)"/>
      <w:numFmt w:val="lowerLetter"/>
      <w:start w:val="25"/>
    </w:lvl>
    <w:lvl w:ilvl="1">
      <w:lvlJc w:val="left"/>
      <w:lvlText w:val="%2"/>
      <w:numFmt w:val="lowerLetter"/>
      <w:start w:val="1"/>
    </w:lvl>
  </w:abstractNum>
  <w:abstractNum w:abstractNumId="181">
    <w:nsid w:val="64429599"/>
    <w:multiLevelType w:val="hybridMultilevel"/>
    <w:lvl w:ilvl="0">
      <w:lvlJc w:val="left"/>
      <w:lvlText w:val="(%1)"/>
      <w:numFmt w:val="lowerLetter"/>
      <w:start w:val="2"/>
    </w:lvl>
    <w:lvl w:ilvl="1">
      <w:lvlJc w:val="left"/>
      <w:lvlText w:val="(%2)"/>
      <w:numFmt w:val="lowerLetter"/>
      <w:start w:val="2"/>
    </w:lvl>
  </w:abstractNum>
  <w:abstractNum w:abstractNumId="182">
    <w:nsid w:val="631F1690"/>
    <w:multiLevelType w:val="hybridMultilevel"/>
    <w:lvl w:ilvl="0">
      <w:lvlJc w:val="left"/>
      <w:lvlText w:val="(%1)"/>
      <w:numFmt w:val="lowerRoman"/>
      <w:start w:val="1"/>
    </w:lvl>
  </w:abstractNum>
  <w:abstractNum w:abstractNumId="183">
    <w:nsid w:val="25973E32"/>
    <w:multiLevelType w:val="hybridMultilevel"/>
    <w:lvl w:ilvl="0">
      <w:lvlJc w:val="left"/>
      <w:lvlText w:val="(%1)"/>
      <w:numFmt w:val="lowerLetter"/>
      <w:start w:val="1"/>
    </w:lvl>
    <w:lvl w:ilvl="1">
      <w:lvlJc w:val="left"/>
      <w:lvlText w:val="(%2)"/>
      <w:numFmt w:val="lowerRoman"/>
      <w:start w:val="1"/>
    </w:lvl>
  </w:abstractNum>
  <w:abstractNum w:abstractNumId="184">
    <w:nsid w:val="EAD6F5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85">
    <w:nsid w:val="6EC9D84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9"/>
    </w:lvl>
  </w:abstractNum>
  <w:abstractNum w:abstractNumId="186">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64AF4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8">
    <w:nsid w:val="397C46B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89">
    <w:nsid w:val="7E448DE9"/>
    <w:multiLevelType w:val="hybridMultilevel"/>
    <w:lvl w:ilvl="0">
      <w:lvlJc w:val="left"/>
      <w:lvlText w:val="(%1)"/>
      <w:numFmt w:val="lowerLetter"/>
      <w:start w:val="1"/>
    </w:lvl>
  </w:abstractNum>
  <w:abstractNum w:abstractNumId="190">
    <w:nsid w:val="5A9CC3E5"/>
    <w:multiLevelType w:val="hybridMultilevel"/>
    <w:lvl w:ilvl="0">
      <w:lvlJc w:val="left"/>
      <w:lvlText w:val="(%1)"/>
      <w:numFmt w:val="lowerLetter"/>
      <w:start w:val="2"/>
    </w:lvl>
  </w:abstractNum>
  <w:abstractNum w:abstractNumId="191">
    <w:nsid w:val="1AFE3625"/>
    <w:multiLevelType w:val="hybridMultilevel"/>
    <w:lvl w:ilvl="0">
      <w:lvlJc w:val="left"/>
      <w:lvlText w:val="(%1)"/>
      <w:numFmt w:val="lowerRoman"/>
      <w:start w:val="1"/>
    </w:lvl>
  </w:abstractNum>
  <w:abstractNum w:abstractNumId="192">
    <w:nsid w:val="3CA88EC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2023-04-04T05:26:48Z</dcterms:created>
  <dcterms:modified xsi:type="dcterms:W3CDTF">2023-04-04T05:26:48Z</dcterms:modified>
</cp:coreProperties>
</file>