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85,656</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315,820</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The RSUs are scheduled to vest in equal installments on each of the first, second and third anniversaries of January 1, 2023.</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RSUs in respect of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each of the first, second and third anniversaries of March 15, 2022. The Company announced on February 16, 2022 that Mr. Olesky had given notice of his retirement effective as of December 31, 2022. Each award disclosed herein will continue to vest in accordance with its vesting terms per the retirement provisions of each grant agreement.</w:t>
      </w:r>
    </w:p>
    <w:p>
      <w:pPr>
        <w:spacing w:after="0" w:line="26"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Lee</w:t>
      </w:r>
      <w:r>
        <w:rPr>
          <w:sz w:val="20"/>
          <w:szCs w:val="20"/>
          <w:color w:val="auto"/>
        </w:rPr>
        <w:tab/>
      </w:r>
      <w:r>
        <w:rPr>
          <w:rFonts w:ascii="Times New Roman" w:cs="Times New Roman" w:eastAsia="Times New Roman" w:hAnsi="Times New Roman"/>
          <w:sz w:val="17"/>
          <w:szCs w:val="17"/>
          <w:color w:val="0000FF"/>
        </w:rPr>
        <w:t>12/19/2022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Olesky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2022-12-19T15:17:09Z</dcterms:created>
  <dcterms:modified xsi:type="dcterms:W3CDTF">2022-12-19T15:17:09Z</dcterms:modified>
</cp:coreProperties>
</file>