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20,580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87,578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RSUs in respect of the issuer's Class A Common Stock which are scheduled to vest on January 1, 2022, (ii) 10,290 unvested RSUs in respect of Class A</w:t>
      </w:r>
    </w:p>
    <w:p>
      <w:pPr>
        <w:spacing w:after="0" w:line="18" w:lineRule="exact"/>
        <w:rPr>
          <w:rFonts w:ascii="Arial" w:cs="Arial" w:eastAsia="Arial" w:hAnsi="Arial"/>
          <w:sz w:val="12"/>
          <w:szCs w:val="12"/>
          <w:color w:val="008000"/>
        </w:rPr>
      </w:pPr>
    </w:p>
    <w:p>
      <w:pPr>
        <w:ind w:left="40" w:right="400"/>
        <w:spacing w:after="0" w:line="250" w:lineRule="auto"/>
        <w:rPr>
          <w:rFonts w:ascii="Arial" w:cs="Arial" w:eastAsia="Arial" w:hAnsi="Arial"/>
          <w:sz w:val="12"/>
          <w:szCs w:val="12"/>
          <w:color w:val="008000"/>
        </w:rPr>
      </w:pPr>
      <w:r>
        <w:rPr>
          <w:rFonts w:ascii="Arial" w:cs="Arial" w:eastAsia="Arial" w:hAnsi="Arial"/>
          <w:sz w:val="13"/>
          <w:szCs w:val="13"/>
          <w:color w:val="008000"/>
        </w:rPr>
        <w:t>Common Stock which are scheduled to vest in equal installments on each of the first, second and third anniversaries of March 17, 2020, and (iii) 20,580 unvested RSUs in respect of Class A Common Stock which are scheduled to vest on January 1, 2023, in each case subject to the reporting person's continued employment through the applicable vesting date.</w:t>
      </w:r>
    </w:p>
    <w:p>
      <w:pPr>
        <w:spacing w:after="0" w:line="1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2021-02-09T19:57:25Z</dcterms:created>
  <dcterms:modified xsi:type="dcterms:W3CDTF">2021-02-09T19:57:25Z</dcterms:modified>
</cp:coreProperties>
</file>