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80" w:type="dxa"/>
            <w:vAlign w:val="bottom"/>
          </w:tcPr>
          <w:p>
            <w:pPr>
              <w:ind w:left="100"/>
              <w:spacing w:after="0"/>
              <w:rPr>
                <w:sz w:val="20"/>
                <w:szCs w:val="20"/>
                <w:color w:val="auto"/>
              </w:rPr>
            </w:pPr>
            <w:r>
              <w:rPr>
                <w:rFonts w:ascii="Arial" w:cs="Arial" w:eastAsia="Arial" w:hAnsi="Arial"/>
                <w:sz w:val="22"/>
                <w:szCs w:val="22"/>
                <w:color w:val="auto"/>
              </w:rPr>
              <w:t>NAMES OF REPORTING PERSONS</w:t>
            </w: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(a)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(b) [ ]</w:t>
            </w:r>
          </w:p>
        </w:tc>
        <w:tc>
          <w:tcPr>
            <w:tcW w:w="5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8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8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5740" w:type="dxa"/>
            <w:vAlign w:val="bottom"/>
          </w:tcPr>
          <w:p>
            <w:pPr>
              <w:jc w:val="right"/>
              <w:ind w:right="51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80" w:type="dxa"/>
            <w:vAlign w:val="bottom"/>
          </w:tcPr>
          <w:p>
            <w:pPr>
              <w:ind w:left="180"/>
              <w:spacing w:after="0" w:line="243" w:lineRule="exact"/>
              <w:rPr>
                <w:sz w:val="20"/>
                <w:szCs w:val="20"/>
                <w:color w:val="auto"/>
              </w:rPr>
            </w:pPr>
            <w:r>
              <w:rPr>
                <w:rFonts w:ascii="Arial" w:cs="Arial" w:eastAsia="Arial" w:hAnsi="Arial"/>
                <w:sz w:val="22"/>
                <w:szCs w:val="22"/>
                <w:color w:val="auto"/>
              </w:rPr>
              <w:t>6. SHARED VOTING POWER</w:t>
            </w:r>
          </w:p>
        </w:tc>
        <w:tc>
          <w:tcPr>
            <w:tcW w:w="5740" w:type="dxa"/>
            <w:vAlign w:val="bottom"/>
          </w:tcPr>
          <w:p>
            <w:pPr>
              <w:jc w:val="right"/>
              <w:ind w:right="5192"/>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8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5740" w:type="dxa"/>
            <w:vAlign w:val="bottom"/>
            <w:vMerge w:val="restart"/>
          </w:tcPr>
          <w:p>
            <w:pPr>
              <w:jc w:val="right"/>
              <w:ind w:right="51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80" w:type="dxa"/>
            <w:vAlign w:val="bottom"/>
            <w:vMerge w:val="continue"/>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8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5740" w:type="dxa"/>
            <w:vAlign w:val="bottom"/>
            <w:vMerge w:val="restart"/>
          </w:tcPr>
          <w:p>
            <w:pPr>
              <w:jc w:val="right"/>
              <w:ind w:right="519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80" w:type="dxa"/>
            <w:vAlign w:val="bottom"/>
            <w:vMerge w:val="continue"/>
          </w:tcPr>
          <w:p>
            <w:pPr>
              <w:spacing w:after="0"/>
              <w:rPr>
                <w:sz w:val="23"/>
                <w:szCs w:val="23"/>
                <w:color w:val="auto"/>
              </w:rPr>
            </w:pPr>
          </w:p>
        </w:tc>
        <w:tc>
          <w:tcPr>
            <w:tcW w:w="5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0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8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Arial" w:cs="Arial" w:eastAsia="Arial" w:hAnsi="Arial"/>
                <w:sz w:val="22"/>
                <w:szCs w:val="22"/>
                <w:color w:val="auto"/>
              </w:rPr>
              <w:t>IA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2460" w:right="6580" w:hanging="1547"/>
        <w:spacing w:after="0" w:line="334" w:lineRule="auto"/>
        <w:tabs>
          <w:tab w:leader="none" w:pos="24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Tradeweb Markets Inc.</w:t>
      </w:r>
    </w:p>
    <w:p>
      <w:pPr>
        <w:spacing w:after="0" w:line="12" w:lineRule="exact"/>
        <w:rPr>
          <w:rFonts w:ascii="Arial" w:cs="Arial" w:eastAsia="Arial" w:hAnsi="Arial"/>
          <w:sz w:val="19"/>
          <w:szCs w:val="19"/>
          <w:b w:val="1"/>
          <w:bCs w:val="1"/>
          <w:color w:val="auto"/>
        </w:rPr>
      </w:pPr>
    </w:p>
    <w:p>
      <w:pPr>
        <w:ind w:left="2460" w:right="4000" w:hanging="1547"/>
        <w:spacing w:after="0" w:line="334" w:lineRule="auto"/>
        <w:tabs>
          <w:tab w:leader="none" w:pos="24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1177 Avenue of the Americas, New York, NY 10036</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2460" w:hanging="1547"/>
        <w:spacing w:after="0"/>
        <w:tabs>
          <w:tab w:leader="none" w:pos="2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246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2460" w:right="3180" w:hanging="1547"/>
        <w:spacing w:after="0" w:line="334" w:lineRule="auto"/>
        <w:tabs>
          <w:tab w:leader="none" w:pos="2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2460" w:right="7520" w:hanging="1547"/>
        <w:spacing w:after="0" w:line="334" w:lineRule="auto"/>
        <w:tabs>
          <w:tab w:leader="none" w:pos="2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2460" w:right="6180" w:hanging="1547"/>
        <w:spacing w:after="0" w:line="334" w:lineRule="auto"/>
        <w:tabs>
          <w:tab w:leader="none" w:pos="2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2460" w:right="7100" w:hanging="1547"/>
        <w:spacing w:after="0" w:line="334" w:lineRule="auto"/>
        <w:tabs>
          <w:tab w:leader="none" w:pos="24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892672106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40"/>
          </w:cols>
          <w:pgMar w:left="400" w:top="423" w:right="459" w:bottom="0" w:gutter="0" w:footer="0" w:header="0"/>
        </w:sectPr>
      </w:pPr>
    </w:p>
    <w:p>
      <w:pPr>
        <w:spacing w:after="0" w:line="131"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200" w:lineRule="exact"/>
        <w:rPr>
          <w:sz w:val="20"/>
          <w:szCs w:val="20"/>
          <w:color w:val="auto"/>
        </w:rPr>
      </w:pPr>
    </w:p>
    <w:p>
      <w:pPr>
        <w:spacing w:after="0" w:line="290"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Broker or dealer registered under Section 15 of the Act (15 U.S.C. 78o).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Insurance Company as defined in Section 3(a)(19) of the Act (15 U.S.C. 78c).</w:t>
      </w:r>
    </w:p>
    <w:p>
      <w:pPr>
        <w:spacing w:after="0" w:line="16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An employee benefit plan or endowment fund in accordance with Rule 240.13d-1(b)(1)(ii)(F);</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parent holding company or control person in accordance with Rule 240.13d-1(b)(1)(ii)(G);</w:t>
      </w:r>
    </w:p>
    <w:p>
      <w:pPr>
        <w:spacing w:after="0" w:line="94"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A church plan that is excluded from the definition of an investment company under Section 3(c)(14) of the Investment Company Act of 1940 (15 U.S.C.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80a-3);</w:t>
      </w:r>
    </w:p>
    <w:p>
      <w:pPr>
        <w:spacing w:after="0" w:line="107" w:lineRule="exact"/>
        <w:rPr>
          <w:sz w:val="20"/>
          <w:szCs w:val="20"/>
          <w:color w:val="auto"/>
        </w:rPr>
      </w:pPr>
    </w:p>
    <w:p>
      <w:pPr>
        <w:sectPr>
          <w:pgSz w:w="11900" w:h="16838" w:orient="portrait"/>
          <w:cols w:equalWidth="0" w:num="2">
            <w:col w:w="3520" w:space="720"/>
            <w:col w:w="6800"/>
          </w:cols>
          <w:pgMar w:left="400" w:top="423" w:right="459" w:bottom="0" w:gutter="0" w:footer="0" w:header="0"/>
          <w:type w:val="continuous"/>
        </w:sectPr>
      </w:pPr>
    </w:p>
    <w:p>
      <w:pPr>
        <w:ind w:left="920"/>
        <w:spacing w:after="0"/>
        <w:tabs>
          <w:tab w:leader="none" w:pos="2440" w:val="left"/>
          <w:tab w:leader="none" w:pos="42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Group, in accordance with Rule 240.13d-1(b)(1)(ii)(J).</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Amount Beneficially Owned:</w:t>
      </w:r>
    </w:p>
    <w:p>
      <w:pPr>
        <w:spacing w:after="0" w:line="125"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0 **</w:t>
      </w:r>
    </w:p>
    <w:p>
      <w:pPr>
        <w:sectPr>
          <w:pgSz w:w="11900" w:h="16838" w:orient="portrait"/>
          <w:cols w:equalWidth="0" w:num="1">
            <w:col w:w="11040"/>
          </w:cols>
          <w:pgMar w:left="400" w:top="423" w:right="459" w:bottom="0" w:gutter="0" w:footer="0" w:header="0"/>
          <w:type w:val="continuous"/>
        </w:sectPr>
      </w:pP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w:t>
            </w:r>
          </w:p>
        </w:tc>
        <w:tc>
          <w:tcPr>
            <w:tcW w:w="2260" w:type="dxa"/>
            <w:vAlign w:val="bottom"/>
          </w:tcPr>
          <w:p>
            <w:pPr>
              <w:ind w:left="640"/>
              <w:spacing w:after="0"/>
              <w:rPr>
                <w:sz w:val="20"/>
                <w:szCs w:val="20"/>
                <w:color w:val="auto"/>
              </w:rPr>
            </w:pPr>
            <w:r>
              <w:rPr>
                <w:rFonts w:ascii="Arial" w:cs="Arial" w:eastAsia="Arial" w:hAnsi="Arial"/>
                <w:sz w:val="22"/>
                <w:szCs w:val="22"/>
                <w:color w:val="auto"/>
                <w:w w:val="95"/>
              </w:rPr>
              <w:t>Percent of Class:</w:t>
            </w: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Arial" w:cs="Arial" w:eastAsia="Arial" w:hAnsi="Arial"/>
                <w:sz w:val="22"/>
                <w:szCs w:val="22"/>
                <w:color w:val="auto"/>
              </w:rPr>
              <w:t>0.0%</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22"/>
                <w:szCs w:val="22"/>
                <w:color w:val="auto"/>
              </w:rPr>
              <w:t>(c)</w:t>
            </w:r>
          </w:p>
        </w:tc>
        <w:tc>
          <w:tcPr>
            <w:tcW w:w="6600" w:type="dxa"/>
            <w:vAlign w:val="bottom"/>
            <w:gridSpan w:val="2"/>
          </w:tcPr>
          <w:p>
            <w:pPr>
              <w:ind w:left="640"/>
              <w:spacing w:after="0"/>
              <w:rPr>
                <w:sz w:val="20"/>
                <w:szCs w:val="20"/>
                <w:color w:val="auto"/>
              </w:rPr>
            </w:pPr>
            <w:r>
              <w:rPr>
                <w:rFonts w:ascii="Arial" w:cs="Arial" w:eastAsia="Arial" w:hAnsi="Arial"/>
                <w:sz w:val="22"/>
                <w:szCs w:val="22"/>
                <w:color w:val="auto"/>
              </w:rPr>
              <w:t>Number of shares as to which such person has:</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Arial" w:cs="Arial" w:eastAsia="Arial" w:hAnsi="Arial"/>
                <w:sz w:val="22"/>
                <w:szCs w:val="22"/>
                <w:color w:val="auto"/>
              </w:rPr>
              <w:t>(i)</w:t>
            </w:r>
          </w:p>
        </w:tc>
        <w:tc>
          <w:tcPr>
            <w:tcW w:w="4340" w:type="dxa"/>
            <w:vAlign w:val="bottom"/>
          </w:tcPr>
          <w:p>
            <w:pPr>
              <w:ind w:left="160"/>
              <w:spacing w:after="0"/>
              <w:rPr>
                <w:sz w:val="20"/>
                <w:szCs w:val="20"/>
                <w:color w:val="auto"/>
              </w:rPr>
            </w:pPr>
            <w:r>
              <w:rPr>
                <w:rFonts w:ascii="Arial" w:cs="Arial" w:eastAsia="Arial" w:hAnsi="Arial"/>
                <w:sz w:val="22"/>
                <w:szCs w:val="22"/>
                <w:color w:val="auto"/>
              </w:rPr>
              <w:t>sole power to vote or to direct the vote</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Arial" w:cs="Arial" w:eastAsia="Arial" w:hAnsi="Arial"/>
                <w:sz w:val="22"/>
                <w:szCs w:val="22"/>
                <w:color w:val="auto"/>
              </w:rPr>
              <w:t>(ii)</w:t>
            </w:r>
          </w:p>
        </w:tc>
        <w:tc>
          <w:tcPr>
            <w:tcW w:w="4340" w:type="dxa"/>
            <w:vAlign w:val="bottom"/>
          </w:tcPr>
          <w:p>
            <w:pPr>
              <w:ind w:left="160"/>
              <w:spacing w:after="0"/>
              <w:rPr>
                <w:sz w:val="20"/>
                <w:szCs w:val="20"/>
                <w:color w:val="auto"/>
              </w:rPr>
            </w:pPr>
            <w:r>
              <w:rPr>
                <w:rFonts w:ascii="Arial" w:cs="Arial" w:eastAsia="Arial" w:hAnsi="Arial"/>
                <w:sz w:val="22"/>
                <w:szCs w:val="22"/>
                <w:color w:val="auto"/>
              </w:rPr>
              <w:t>shared power to vote or to direct the vote</w:t>
            </w:r>
          </w:p>
        </w:tc>
        <w:tc>
          <w:tcPr>
            <w:tcW w:w="0" w:type="dxa"/>
            <w:vAlign w:val="bottom"/>
          </w:tcPr>
          <w:p>
            <w:pPr>
              <w:spacing w:after="0"/>
              <w:rPr>
                <w:sz w:val="1"/>
                <w:szCs w:val="1"/>
                <w:color w:val="auto"/>
              </w:rPr>
            </w:pPr>
          </w:p>
        </w:tc>
      </w:tr>
      <w:tr>
        <w:trPr>
          <w:trHeight w:val="347"/>
        </w:trPr>
        <w:tc>
          <w:tcPr>
            <w:tcW w:w="900" w:type="dxa"/>
            <w:vAlign w:val="bottom"/>
          </w:tcPr>
          <w:p>
            <w:pPr>
              <w:spacing w:after="0"/>
              <w:rPr>
                <w:sz w:val="24"/>
                <w:szCs w:val="24"/>
                <w:color w:val="auto"/>
              </w:rPr>
            </w:pPr>
          </w:p>
        </w:tc>
        <w:tc>
          <w:tcPr>
            <w:tcW w:w="2260" w:type="dxa"/>
            <w:vAlign w:val="bottom"/>
            <w:vMerge w:val="restart"/>
          </w:tcPr>
          <w:p>
            <w:pPr>
              <w:ind w:left="640"/>
              <w:spacing w:after="0"/>
              <w:rPr>
                <w:sz w:val="20"/>
                <w:szCs w:val="20"/>
                <w:color w:val="auto"/>
              </w:rPr>
            </w:pPr>
            <w:r>
              <w:rPr>
                <w:rFonts w:ascii="Arial" w:cs="Arial" w:eastAsia="Arial" w:hAnsi="Arial"/>
                <w:sz w:val="22"/>
                <w:szCs w:val="22"/>
                <w:color w:val="auto"/>
              </w:rPr>
              <w:t>(iii)</w:t>
            </w:r>
          </w:p>
        </w:tc>
        <w:tc>
          <w:tcPr>
            <w:tcW w:w="4340" w:type="dxa"/>
            <w:vAlign w:val="bottom"/>
          </w:tcPr>
          <w:p>
            <w:pPr>
              <w:ind w:left="160"/>
              <w:spacing w:after="0"/>
              <w:rPr>
                <w:sz w:val="20"/>
                <w:szCs w:val="20"/>
                <w:color w:val="auto"/>
              </w:rPr>
            </w:pPr>
            <w:r>
              <w:rPr>
                <w:rFonts w:ascii="Arial" w:cs="Arial" w:eastAsia="Arial" w:hAnsi="Arial"/>
                <w:sz w:val="22"/>
                <w:szCs w:val="22"/>
                <w:color w:val="auto"/>
                <w:w w:val="88"/>
              </w:rPr>
              <w:t>sole power to dispose or to direct the disposition</w:t>
            </w:r>
          </w:p>
        </w:tc>
        <w:tc>
          <w:tcPr>
            <w:tcW w:w="0" w:type="dxa"/>
            <w:vAlign w:val="bottom"/>
          </w:tcPr>
          <w:p>
            <w:pPr>
              <w:spacing w:after="0"/>
              <w:rPr>
                <w:sz w:val="1"/>
                <w:szCs w:val="1"/>
                <w:color w:val="auto"/>
              </w:rPr>
            </w:pPr>
          </w:p>
        </w:tc>
      </w:tr>
      <w:tr>
        <w:trPr>
          <w:trHeight w:val="153"/>
        </w:trPr>
        <w:tc>
          <w:tcPr>
            <w:tcW w:w="90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4340" w:type="dxa"/>
            <w:vAlign w:val="bottom"/>
            <w:vMerge w:val="restart"/>
          </w:tcPr>
          <w:p>
            <w:pPr>
              <w:ind w:left="160"/>
              <w:spacing w:after="0"/>
              <w:rPr>
                <w:sz w:val="20"/>
                <w:szCs w:val="20"/>
                <w:color w:val="auto"/>
              </w:rPr>
            </w:pPr>
            <w:r>
              <w:rPr>
                <w:rFonts w:ascii="Arial" w:cs="Arial" w:eastAsia="Arial" w:hAnsi="Arial"/>
                <w:sz w:val="22"/>
                <w:szCs w:val="22"/>
                <w:color w:val="auto"/>
              </w:rPr>
              <w:t>of</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246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Arial" w:cs="Arial" w:eastAsia="Arial" w:hAnsi="Arial"/>
                <w:sz w:val="22"/>
                <w:szCs w:val="22"/>
                <w:color w:val="auto"/>
              </w:rPr>
              <w:t>(iv)</w:t>
            </w:r>
          </w:p>
        </w:tc>
        <w:tc>
          <w:tcPr>
            <w:tcW w:w="4140" w:type="dxa"/>
            <w:vAlign w:val="bottom"/>
          </w:tcPr>
          <w:p>
            <w:pPr>
              <w:ind w:left="740"/>
              <w:spacing w:after="0"/>
              <w:rPr>
                <w:sz w:val="20"/>
                <w:szCs w:val="20"/>
                <w:color w:val="auto"/>
              </w:rPr>
            </w:pPr>
            <w:r>
              <w:rPr>
                <w:rFonts w:ascii="Arial" w:cs="Arial" w:eastAsia="Arial" w:hAnsi="Arial"/>
                <w:sz w:val="22"/>
                <w:szCs w:val="22"/>
                <w:color w:val="auto"/>
                <w:w w:val="87"/>
              </w:rPr>
              <w:t>shared power to dispose or to direct the</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4140" w:type="dxa"/>
            <w:vAlign w:val="bottom"/>
            <w:vMerge w:val="restart"/>
          </w:tcPr>
          <w:p>
            <w:pPr>
              <w:ind w:left="740"/>
              <w:spacing w:after="0"/>
              <w:rPr>
                <w:sz w:val="20"/>
                <w:szCs w:val="20"/>
                <w:color w:val="auto"/>
              </w:rPr>
            </w:pPr>
            <w:r>
              <w:rPr>
                <w:rFonts w:ascii="Arial" w:cs="Arial" w:eastAsia="Arial" w:hAnsi="Arial"/>
                <w:sz w:val="22"/>
                <w:szCs w:val="22"/>
                <w:color w:val="auto"/>
              </w:rPr>
              <w:t>disposition of</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4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380" w:lineRule="exact"/>
        <w:rPr>
          <w:sz w:val="20"/>
          <w:szCs w:val="20"/>
          <w:color w:val="auto"/>
        </w:rPr>
      </w:pPr>
    </w:p>
    <w:p>
      <w:pPr>
        <w:spacing w:after="0"/>
        <w:rPr>
          <w:sz w:val="20"/>
          <w:szCs w:val="20"/>
          <w:color w:val="auto"/>
        </w:rPr>
      </w:pPr>
      <w:r>
        <w:rPr>
          <w:rFonts w:ascii="Arial" w:cs="Arial" w:eastAsia="Arial" w:hAnsi="Arial"/>
          <w:sz w:val="21"/>
          <w:szCs w:val="21"/>
          <w:color w:val="auto"/>
        </w:rPr>
        <w:t>0</w:t>
      </w:r>
    </w:p>
    <w:p>
      <w:pPr>
        <w:spacing w:after="0" w:line="258" w:lineRule="exact"/>
        <w:rPr>
          <w:sz w:val="20"/>
          <w:szCs w:val="20"/>
          <w:color w:val="auto"/>
        </w:rPr>
      </w:pPr>
    </w:p>
    <w:p>
      <w:pPr>
        <w:sectPr>
          <w:pgSz w:w="11900" w:h="16838" w:orient="portrait"/>
          <w:cols w:equalWidth="0" w:num="2">
            <w:col w:w="8420" w:space="260"/>
            <w:col w:w="2360"/>
          </w:cols>
          <w:pgMar w:left="400" w:top="423" w:right="459" w:bottom="0" w:gutter="0" w:footer="0" w:header="0"/>
          <w:type w:val="continuous"/>
        </w:sectPr>
      </w:pPr>
    </w:p>
    <w:p>
      <w:pPr>
        <w:jc w:val="both"/>
        <w:ind w:right="380"/>
        <w:spacing w:after="0" w:line="328"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w:t>
      </w:r>
    </w:p>
    <w:p>
      <w:pPr>
        <w:sectPr>
          <w:pgSz w:w="11900" w:h="16838" w:orient="portrait"/>
          <w:cols w:equalWidth="0" w:num="1">
            <w:col w:w="11040"/>
          </w:cols>
          <w:pgMar w:left="400" w:top="423" w:right="459" w:bottom="0" w:gutter="0" w:footer="0" w:header="0"/>
          <w:type w:val="continuous"/>
        </w:sectPr>
      </w:pPr>
    </w:p>
    <w:bookmarkStart w:id="3" w:name="page4"/>
    <w:bookmarkEnd w:id="3"/>
    <w:p>
      <w:pPr>
        <w:spacing w:after="0" w:line="236" w:lineRule="auto"/>
        <w:rPr>
          <w:sz w:val="20"/>
          <w:szCs w:val="20"/>
          <w:color w:val="auto"/>
        </w:rPr>
      </w:pPr>
      <w:r>
        <w:rPr>
          <w:rFonts w:ascii="Arial" w:cs="Arial" w:eastAsia="Arial" w:hAnsi="Arial"/>
          <w:sz w:val="22"/>
          <w:szCs w:val="22"/>
          <w:color w:val="auto"/>
        </w:rPr>
        <w:t>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0 shares or 0.0% of the 111,077,443 shares believed to be outstanding.</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upperLetter"/>
      <w:start w:val="24"/>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2023-02-13T14:41:28Z</dcterms:created>
  <dcterms:modified xsi:type="dcterms:W3CDTF">2023-02-13T14:41:28Z</dcterms:modified>
</cp:coreProperties>
</file>