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restart"/>
          </w:tcPr>
          <w:p>
            <w:pPr>
              <w:spacing w:after="0" w:line="181" w:lineRule="exact"/>
              <w:rPr>
                <w:rFonts w:ascii="Arial" w:cs="Arial" w:eastAsia="Arial" w:hAnsi="Arial"/>
                <w:sz w:val="16"/>
                <w:szCs w:val="16"/>
                <w:color w:val="0000EE"/>
                <w:w w:val="93"/>
              </w:rPr>
            </w:pPr>
            <w:hyperlink r:id="rId11">
              <w:r>
                <w:rPr>
                  <w:rFonts w:ascii="Arial" w:cs="Arial" w:eastAsia="Arial" w:hAnsi="Arial"/>
                  <w:sz w:val="16"/>
                  <w:szCs w:val="16"/>
                  <w:color w:val="0000EE"/>
                  <w:w w:val="93"/>
                </w:rPr>
                <w:t>Dixon Troy</w:t>
              </w:r>
            </w:hyperlink>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Borders>
              <w:bottom w:val="single" w:sz="8" w:color="0000EE"/>
            </w:tcBorders>
            <w:vMerge w:val="continue"/>
          </w:tcPr>
          <w:p>
            <w:pPr>
              <w:spacing w:after="0"/>
              <w:rPr>
                <w:sz w:val="9"/>
                <w:szCs w:val="9"/>
                <w:color w:val="auto"/>
              </w:rPr>
            </w:pPr>
          </w:p>
        </w:tc>
        <w:tc>
          <w:tcPr>
            <w:tcW w:w="140" w:type="dxa"/>
            <w:vAlign w:val="bottom"/>
            <w:vMerge w:val="restart"/>
          </w:tcPr>
          <w:p>
            <w:pPr>
              <w:spacing w:after="0"/>
              <w:rPr>
                <w:sz w:val="9"/>
                <w:szCs w:val="9"/>
                <w:color w:val="auto"/>
              </w:rPr>
            </w:pPr>
          </w:p>
        </w:tc>
        <w:tc>
          <w:tcPr>
            <w:tcW w:w="112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03/01/2023</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0"/>
                <w:szCs w:val="10"/>
                <w:color w:val="auto"/>
              </w:rPr>
              <w:t>(Last)</w:t>
            </w:r>
          </w:p>
        </w:tc>
        <w:tc>
          <w:tcPr>
            <w:tcW w:w="1120" w:type="dxa"/>
            <w:vAlign w:val="bottom"/>
          </w:tcPr>
          <w:p>
            <w:pPr>
              <w:ind w:left="16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17"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Tradeweb Markets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TW</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41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940" w:type="dxa"/>
            <w:vAlign w:val="bottom"/>
            <w:gridSpan w:val="2"/>
          </w:tcPr>
          <w:p>
            <w:pPr>
              <w:ind w:left="40"/>
              <w:spacing w:after="0"/>
              <w:rPr>
                <w:sz w:val="20"/>
                <w:szCs w:val="20"/>
                <w:color w:val="auto"/>
              </w:rPr>
            </w:pPr>
            <w:r>
              <w:rPr>
                <w:rFonts w:ascii="Arial" w:cs="Arial" w:eastAsia="Arial" w:hAnsi="Arial"/>
                <w:sz w:val="13"/>
                <w:szCs w:val="13"/>
                <w:color w:val="0000FF"/>
              </w:rPr>
              <w:t>TRADEWEB MARKETS INC.</w:t>
            </w:r>
          </w:p>
        </w:tc>
        <w:tc>
          <w:tcPr>
            <w:tcW w:w="520" w:type="dxa"/>
            <w:vAlign w:val="bottom"/>
          </w:tcPr>
          <w:p>
            <w:pPr>
              <w:spacing w:after="0"/>
              <w:rPr>
                <w:sz w:val="14"/>
                <w:szCs w:val="14"/>
                <w:color w:val="auto"/>
              </w:rPr>
            </w:pPr>
          </w:p>
        </w:tc>
      </w:tr>
      <w:tr>
        <w:trPr>
          <w:trHeight w:val="200"/>
        </w:trPr>
        <w:tc>
          <w:tcPr>
            <w:tcW w:w="1940" w:type="dxa"/>
            <w:vAlign w:val="bottom"/>
            <w:gridSpan w:val="2"/>
          </w:tcPr>
          <w:p>
            <w:pPr>
              <w:ind w:left="40"/>
              <w:spacing w:after="0"/>
              <w:rPr>
                <w:sz w:val="20"/>
                <w:szCs w:val="20"/>
                <w:color w:val="auto"/>
              </w:rPr>
            </w:pPr>
            <w:r>
              <w:rPr>
                <w:rFonts w:ascii="Arial" w:cs="Arial" w:eastAsia="Arial" w:hAnsi="Arial"/>
                <w:sz w:val="13"/>
                <w:szCs w:val="13"/>
                <w:color w:val="0000FF"/>
              </w:rPr>
              <w:t>1177 AVENUE OF AMERICAS</w:t>
            </w:r>
          </w:p>
        </w:tc>
        <w:tc>
          <w:tcPr>
            <w:tcW w:w="520" w:type="dxa"/>
            <w:vAlign w:val="bottom"/>
          </w:tcPr>
          <w:p>
            <w:pPr>
              <w:spacing w:after="0"/>
              <w:rPr>
                <w:sz w:val="17"/>
                <w:szCs w:val="17"/>
                <w:color w:val="auto"/>
              </w:rPr>
            </w:pPr>
          </w:p>
        </w:tc>
      </w:tr>
      <w:tr>
        <w:trPr>
          <w:trHeight w:val="332"/>
        </w:trPr>
        <w:tc>
          <w:tcPr>
            <w:tcW w:w="900" w:type="dxa"/>
            <w:vAlign w:val="bottom"/>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8"/>
        </w:trPr>
        <w:tc>
          <w:tcPr>
            <w:tcW w:w="900" w:type="dxa"/>
            <w:vAlign w:val="bottom"/>
          </w:tcPr>
          <w:p>
            <w:pPr>
              <w:ind w:left="40"/>
              <w:spacing w:after="0"/>
              <w:rPr>
                <w:sz w:val="20"/>
                <w:szCs w:val="20"/>
                <w:color w:val="auto"/>
              </w:rPr>
            </w:pPr>
            <w:r>
              <w:rPr>
                <w:rFonts w:ascii="Arial" w:cs="Arial" w:eastAsia="Arial" w:hAnsi="Arial"/>
                <w:sz w:val="13"/>
                <w:szCs w:val="13"/>
                <w:color w:val="0000FF"/>
              </w:rPr>
              <w:t>NEW YORK</w:t>
            </w:r>
          </w:p>
        </w:tc>
        <w:tc>
          <w:tcPr>
            <w:tcW w:w="1040" w:type="dxa"/>
            <w:vAlign w:val="bottom"/>
          </w:tcPr>
          <w:p>
            <w:pPr>
              <w:ind w:left="180"/>
              <w:spacing w:after="0"/>
              <w:rPr>
                <w:sz w:val="20"/>
                <w:szCs w:val="20"/>
                <w:color w:val="auto"/>
              </w:rPr>
            </w:pPr>
            <w:r>
              <w:rPr>
                <w:rFonts w:ascii="Arial" w:cs="Arial" w:eastAsia="Arial" w:hAnsi="Arial"/>
                <w:sz w:val="13"/>
                <w:szCs w:val="13"/>
                <w:color w:val="0000FF"/>
              </w:rPr>
              <w:t>NY</w:t>
            </w:r>
          </w:p>
        </w:tc>
        <w:tc>
          <w:tcPr>
            <w:tcW w:w="520" w:type="dxa"/>
            <w:vAlign w:val="bottom"/>
          </w:tcPr>
          <w:p>
            <w:pPr>
              <w:jc w:val="right"/>
              <w:spacing w:after="0"/>
              <w:rPr>
                <w:sz w:val="20"/>
                <w:szCs w:val="20"/>
                <w:color w:val="auto"/>
              </w:rPr>
            </w:pPr>
            <w:r>
              <w:rPr>
                <w:rFonts w:ascii="Arial" w:cs="Arial" w:eastAsia="Arial" w:hAnsi="Arial"/>
                <w:sz w:val="13"/>
                <w:szCs w:val="13"/>
                <w:color w:val="0000FF"/>
              </w:rPr>
              <w:t>10036</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0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 Power of Attorney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Scott Zucker,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2331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33170"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Troy Dixon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3848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84810"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76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03/01/2023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65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76555"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560" w:space="26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Exhibit 24</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Scott Zucker, Douglas Friedman, and Fred Strobel, and each of</w:t>
      </w:r>
    </w:p>
    <w:p>
      <w:pPr>
        <w:spacing w:after="0" w:line="154"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executive officer, director and/or beneficial owner of equi</w:t>
      </w:r>
    </w:p>
    <w:p>
      <w:pPr>
        <w:spacing w:after="0" w:line="16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3" w:lineRule="exact"/>
        <w:rPr>
          <w:rFonts w:ascii="Courier New" w:cs="Courier New" w:eastAsia="Courier New" w:hAnsi="Courier New"/>
          <w:sz w:val="13"/>
          <w:szCs w:val="13"/>
          <w:color w:val="auto"/>
        </w:rPr>
      </w:pPr>
    </w:p>
    <w:p>
      <w:pPr>
        <w:spacing w:after="0" w:line="488"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any such attorney-in-fact, may be o The undersigned hereby grants to each such attorney-in-fact full power and authority to do and perform any and every act and thing whatsoever This Power of Attorney shall remain in full force and effect until the undersigned is no longer required to file any form required to be filed IN WITNESS WHEREOF, the undersigned has caused this Power of Attorney to be executed as of this 16th day of February, 2023.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Troy Dixon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Troy Dixon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875539" TargetMode="External"/><Relationship Id="rId12"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2023-03-01T20:16:04Z</dcterms:created>
  <dcterms:modified xsi:type="dcterms:W3CDTF">2023-03-01T20:16:04Z</dcterms:modified>
</cp:coreProperties>
</file>