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27940</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Bruni Enrico</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Managing Director, Europe/Asia</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03/15/2021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9,439</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101,680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7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restricted stock units ("RSUs") in respect of the issuer's Class A common stock ("Class A Common Stock"). Subject to the reporting person's continued employment with the issuer through the applicable vesting date, these RSUs are scheduled to vest in equal installments on each of the first, second and third anniversaries of March 15, 2021.</w:t>
      </w:r>
    </w:p>
    <w:p>
      <w:pPr>
        <w:spacing w:after="0" w:line="7" w:lineRule="exact"/>
        <w:rPr>
          <w:rFonts w:ascii="Times New Roman" w:cs="Times New Roman" w:eastAsia="Times New Roman" w:hAnsi="Times New Roman"/>
          <w:sz w:val="13"/>
          <w:szCs w:val="13"/>
          <w:color w:val="008000"/>
        </w:rPr>
      </w:pPr>
    </w:p>
    <w:p>
      <w:pPr>
        <w:ind w:left="40" w:right="1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44,004 unvested RSUs in respect of Class A Common Stock which are scheduled to vest on January 1, 2022, (ii) 10,719 unvested RSUs in respect of Class A Common Stock which are scheduled to vest in equal installments on each of March 17, 2022, and March 17, 2023, (iii) 32,158 unvested RSUs in respect of Class A Common Stock which are scheduled to vest on January 1, 2023, and (iv) 9,439 unvested RSUs in respect of Class A Common Stock which are scheduled to vest as described in footnote 1 to this Form 4, in each case subject to the reporting person's continued employment through the applicable vesting date. In addition, this amount includes 5,360 RSUs which are fully vested as of the date hereof and will be settled in shares of Class A Common Stock on March 18, 2021.</w:t>
      </w:r>
    </w:p>
    <w:p>
      <w:pPr>
        <w:spacing w:after="0" w:line="17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03/17/2021</w:t>
            </w:r>
          </w:p>
        </w:tc>
        <w:tc>
          <w:tcPr>
            <w:tcW w:w="0" w:type="dxa"/>
            <w:vAlign w:val="bottom"/>
          </w:tcPr>
          <w:p>
            <w:pPr>
              <w:spacing w:after="0"/>
              <w:rPr>
                <w:sz w:val="1"/>
                <w:szCs w:val="1"/>
                <w:color w:val="auto"/>
              </w:rPr>
            </w:pPr>
          </w:p>
        </w:tc>
      </w:tr>
      <w:tr>
        <w:trPr>
          <w:trHeight w:val="87"/>
        </w:trPr>
        <w:tc>
          <w:tcPr>
            <w:tcW w:w="15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Enrico Bruni</w:t>
            </w:r>
          </w:p>
        </w:tc>
        <w:tc>
          <w:tcPr>
            <w:tcW w:w="6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0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2021-03-17T20:26:31Z</dcterms:created>
  <dcterms:modified xsi:type="dcterms:W3CDTF">2021-03-17T20:26:31Z</dcterms:modified>
</cp:coreProperties>
</file>