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8399.xml.htm"/>
      <w:bookmarkStart w:id="1" w:name="kswkform4_1773778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Friedman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19,638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124.42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17,332</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17,350</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1,990 unvested RSUs in respect of Class A Common Stock that are scheduled to vest on March 15, 2027, (ii) 3,631 unvested RSUs in respect of Class A Common Stock that are scheduled to vest in equal installments on March 17, 2026, March 17, 2027 and March 17, 2028 and (iii) 6,510 unvested RSUs in respect of Class A Common Stock that are scheduled to vest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the issuer to satisfy the tax withholding obligation associated with the settlement of RSUs in respect of the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193"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4346</Characters>
  <CharactersWithSpaces>5100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