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466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4660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Furber Sara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10036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Tradeweb Markets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TW</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840" w:type="dxa"/>
            <w:vAlign w:val="bottom"/>
            <w:tcBorders>
              <w:bottom w:val="single" w:sz="8" w:color="0000EE"/>
            </w:tcBorders>
          </w:tcPr>
          <w:p>
            <w:pPr>
              <w:spacing w:after="0"/>
              <w:rPr>
                <w:sz w:val="3"/>
                <w:szCs w:val="3"/>
                <w:color w:val="auto"/>
              </w:rPr>
            </w:pPr>
          </w:p>
        </w:tc>
        <w:tc>
          <w:tcPr>
            <w:tcW w:w="1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0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03/15/2024</w:t>
            </w:r>
          </w:p>
        </w:tc>
        <w:tc>
          <w:tcPr>
            <w:tcW w:w="1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7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840" w:type="dxa"/>
            <w:vAlign w:val="bottom"/>
            <w:tcBorders>
              <w:bottom w:val="single" w:sz="8" w:color="2C2C2C"/>
            </w:tcBorders>
          </w:tcPr>
          <w:p>
            <w:pPr>
              <w:spacing w:after="0"/>
              <w:rPr>
                <w:sz w:val="8"/>
                <w:szCs w:val="8"/>
                <w:color w:val="auto"/>
              </w:rPr>
            </w:pPr>
          </w:p>
        </w:tc>
        <w:tc>
          <w:tcPr>
            <w:tcW w:w="17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03/15/2024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26"/>
                <w:szCs w:val="26"/>
                <w:color w:val="0000FF"/>
                <w:w w:val="86"/>
                <w:vertAlign w:val="subscript"/>
              </w:rPr>
              <w:t>A</w:t>
            </w:r>
            <w:r>
              <w:rPr>
                <w:rFonts w:ascii="Times New Roman" w:cs="Times New Roman" w:eastAsia="Times New Roman" w:hAnsi="Times New Roman"/>
                <w:sz w:val="11"/>
                <w:szCs w:val="11"/>
                <w:color w:val="008000"/>
                <w:w w:val="86"/>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11,147</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2"/>
          </w:tcPr>
          <w:p>
            <w:pPr>
              <w:jc w:val="center"/>
              <w:ind w:left="251"/>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104,589</w:t>
            </w:r>
            <w:r>
              <w:rPr>
                <w:rFonts w:ascii="Times New Roman" w:cs="Times New Roman" w:eastAsia="Times New Roman" w:hAnsi="Times New Roman"/>
                <w:sz w:val="22"/>
                <w:szCs w:val="22"/>
                <w:color w:val="008000"/>
                <w:w w:val="96"/>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03/18/2024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26"/>
                <w:szCs w:val="26"/>
                <w:color w:val="0000FF"/>
                <w:w w:val="88"/>
                <w:vertAlign w:val="subscript"/>
              </w:rPr>
              <w:t>F</w:t>
            </w:r>
            <w:r>
              <w:rPr>
                <w:rFonts w:ascii="Times New Roman" w:cs="Times New Roman" w:eastAsia="Times New Roman" w:hAnsi="Times New Roman"/>
                <w:sz w:val="11"/>
                <w:szCs w:val="11"/>
                <w:color w:val="008000"/>
                <w:w w:val="88"/>
              </w:rPr>
              <w:t>(3)</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5,518</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31"/>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103.82</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99,071</w:t>
            </w:r>
            <w:r>
              <w:rPr>
                <w:rFonts w:ascii="Times New Roman" w:cs="Times New Roman" w:eastAsia="Times New Roman" w:hAnsi="Times New Roman"/>
                <w:sz w:val="22"/>
                <w:szCs w:val="22"/>
                <w:color w:val="008000"/>
                <w:w w:val="97"/>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03/18/2024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26"/>
                <w:szCs w:val="26"/>
                <w:color w:val="0000FF"/>
                <w:w w:val="86"/>
                <w:vertAlign w:val="subscript"/>
              </w:rPr>
              <w:t>A</w:t>
            </w:r>
            <w:r>
              <w:rPr>
                <w:rFonts w:ascii="Times New Roman" w:cs="Times New Roman" w:eastAsia="Times New Roman" w:hAnsi="Times New Roman"/>
                <w:sz w:val="11"/>
                <w:szCs w:val="11"/>
                <w:color w:val="008000"/>
                <w:w w:val="86"/>
              </w:rPr>
              <w:t>(4)</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52</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2"/>
          </w:tcPr>
          <w:p>
            <w:pPr>
              <w:jc w:val="center"/>
              <w:ind w:left="251"/>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99,123</w:t>
            </w:r>
            <w:r>
              <w:rPr>
                <w:rFonts w:ascii="Times New Roman" w:cs="Times New Roman" w:eastAsia="Times New Roman" w:hAnsi="Times New Roman"/>
                <w:sz w:val="22"/>
                <w:szCs w:val="22"/>
                <w:color w:val="008000"/>
                <w:w w:val="97"/>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jc w:val="center"/>
              <w:ind w:left="43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7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 is an award of restricted stock units ("RSUs") in respect of the issuer's Class A common stock ("Class A Common Stock"). Subject to the reporting person's continued employment through the applicable vesting date, these RSUs are scheduled to vest in equal installments on each of the first, second and third anniversaries of March 15, 2024.</w:t>
      </w:r>
    </w:p>
    <w:p>
      <w:pPr>
        <w:spacing w:after="0" w:line="7" w:lineRule="exact"/>
        <w:rPr>
          <w:rFonts w:ascii="Times New Roman" w:cs="Times New Roman" w:eastAsia="Times New Roman" w:hAnsi="Times New Roman"/>
          <w:sz w:val="13"/>
          <w:szCs w:val="13"/>
          <w:color w:val="008000"/>
        </w:rPr>
      </w:pPr>
    </w:p>
    <w:p>
      <w:pPr>
        <w:ind w:left="40" w:right="140" w:firstLine="7"/>
        <w:spacing w:after="0" w:line="24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4,948 unvested RSUs in respect of Class A Common Stock which are scheduled to vest on March 31, 2024, (ii) 3,619 unvested RSUs in respect of Class A Common Stock which are scheduled to vest on March 31, 2025, (iii) 4,577 unvested RSUs in respect of Class A Common Stock which are scheduled to vest on March 15, 2025, (iv) 17,741 unvested RSUs in respect of Class A Common Stock that are scheduled to vest on January 1, 2025, (v) 12,459 unvested RSUs in respect of Class A Common Stock which are scheduled to vest in equal installments on March 15, 2025 and March 15, 2026, (vi) 33,881 unvested RSUs in respect of Class A Common Stock which are scheduled to vest on January 1, 2026, and (vii) 11,147 unvested RSUs in respect of Class A Common Stock which are scheduled to vest in equal installments on March 15, 2025, March 15, 2026 and March 15, 2027, in each case subject to the reporting person's continued employment through the applicable vesting date.</w:t>
      </w:r>
    </w:p>
    <w:p>
      <w:pPr>
        <w:spacing w:after="0" w:line="179"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issuer to satisfy the tax withholding obligation associated with the settlement of RSUs in respect of of Class A Common Stock held by the reporting person.</w:t>
      </w:r>
    </w:p>
    <w:p>
      <w:pPr>
        <w:spacing w:after="0" w:line="50" w:lineRule="exact"/>
        <w:rPr>
          <w:rFonts w:ascii="Times New Roman" w:cs="Times New Roman" w:eastAsia="Times New Roman" w:hAnsi="Times New Roman"/>
          <w:sz w:val="13"/>
          <w:szCs w:val="13"/>
          <w:color w:val="008000"/>
        </w:rPr>
      </w:pPr>
    </w:p>
    <w:p>
      <w:pPr>
        <w:ind w:left="40" w:right="5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A Common Stock acquired in connection with the settlement of certain dividend equivalent rights (the "DERs"). The DERs were granted in connection with previously awarded RSUs, and settled in shares of Class A Common Stock in connection with the settlement of the RSUs to which they relate.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Douglas Friedman,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747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Sara</w:t>
      </w:r>
      <w:r>
        <w:rPr>
          <w:sz w:val="20"/>
          <w:szCs w:val="20"/>
          <w:color w:val="auto"/>
        </w:rPr>
        <w:tab/>
      </w:r>
      <w:r>
        <w:rPr>
          <w:rFonts w:ascii="Times New Roman" w:cs="Times New Roman" w:eastAsia="Times New Roman" w:hAnsi="Times New Roman"/>
          <w:sz w:val="17"/>
          <w:szCs w:val="17"/>
          <w:color w:val="0000FF"/>
        </w:rPr>
        <w:t>03/19/2024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Furber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933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9337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503180"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2024-03-19T17:56:01Z</dcterms:created>
  <dcterms:modified xsi:type="dcterms:W3CDTF">2024-03-19T17:56:01Z</dcterms:modified>
</cp:coreProperties>
</file>