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Olesky Lee</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jc w:val="center"/>
              <w:ind w:left="7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5"/>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4,620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2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320,440</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w w:val="82"/>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55,572</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4"/>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264,868</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675</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2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265,543</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service as a director of the issuer through the vesting date, these restricted stock units are scheduled to vest on January 1, 2024 and settle in Class A common stock of the issuer within 30 days thereafter.</w:t>
      </w:r>
    </w:p>
    <w:p>
      <w:pPr>
        <w:spacing w:after="0" w:line="7" w:lineRule="exact"/>
        <w:rPr>
          <w:rFonts w:ascii="Times New Roman" w:cs="Times New Roman" w:eastAsia="Times New Roman" w:hAnsi="Times New Roman"/>
          <w:sz w:val="13"/>
          <w:szCs w:val="13"/>
          <w:color w:val="008000"/>
        </w:rPr>
      </w:pPr>
    </w:p>
    <w:p>
      <w:pPr>
        <w:ind w:left="40" w:right="16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RSUs in respect of Class A Common Stock scheduled to vest on March 17, 2023, (ii) 102,906 unvested RSUs in respect of Class A Common Stock scheduled to vest on January 1, 2023, (iii) 19,777 unvested RSUs in respect of Class A Common Stock scheduled to vest in equal installments on each of March 15, 2023 and March 15, 2024, (iv) 59,330 unvested RSUs in respect of Class A Common Stock scheduled to vest on January 1, 2024, (v) 31,000 unvested RSUs in respect of Class A Common Stock scheduled to vest in equal installments on each of the first, second and third anniversaries of March 15, 2022, and (vi) 85,656 unvested RSUs in respect of Class A Common Stock scheduled to vest in equal installments on each of the first, second and third anniversaries of January 1, 2023. Mr. Olesky retired as CEO effective as of 12/31/22. Each award disclosed herein will continue to vest in accordance with its vesting terms per the retirement provisions of each grant agreement.</w:t>
      </w:r>
    </w:p>
    <w:p>
      <w:pPr>
        <w:spacing w:after="0" w:line="179"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2023-01-04T19:26:21Z</dcterms:created>
  <dcterms:modified xsi:type="dcterms:W3CDTF">2023-01-04T19:26:21Z</dcterms:modified>
</cp:coreProperties>
</file>