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-235585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36830</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Friedman Douglas</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12/11/2020</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38"/>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389"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7"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1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12/11/2020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20,000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87,875</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12/11/2020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7,447</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64.5443</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80,428</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12/11/2020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12,553</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65.1049</w:t>
            </w:r>
            <w:r>
              <w:rPr>
                <w:rFonts w:ascii="Times New Roman" w:cs="Times New Roman" w:eastAsia="Times New Roman" w:hAnsi="Times New Roman"/>
                <w:sz w:val="21"/>
                <w:szCs w:val="21"/>
                <w:color w:val="008000"/>
                <w:w w:val="96"/>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67,875</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12/11/2020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2,464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11, 2020.</w:t>
      </w:r>
    </w:p>
    <w:p>
      <w:pPr>
        <w:spacing w:after="0" w:line="44" w:lineRule="exact"/>
        <w:rPr>
          <w:rFonts w:ascii="Times New Roman" w:cs="Times New Roman" w:eastAsia="Times New Roman" w:hAnsi="Times New Roman"/>
          <w:sz w:val="13"/>
          <w:szCs w:val="13"/>
          <w:color w:val="008000"/>
        </w:rPr>
      </w:pPr>
    </w:p>
    <w:p>
      <w:pPr>
        <w:ind w:left="40" w:right="2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22,867 unvested restricted stock units ("RSUs") in respect of the issuer's Class A common stock ("Class A Common Stock") which are scheduled to vest on January 1, 2021, (ii) 33,004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jc w:val="both"/>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$63.99 to $64.98,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$65.00 to $65.51,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12/14/2020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2020-12-14T19:11:57Z</dcterms:created>
  <dcterms:modified xsi:type="dcterms:W3CDTF">2020-12-14T19:11:57Z</dcterms:modified>
</cp:coreProperties>
</file>