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WARSHAW ROBERT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04/04/2019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1177 AVENUE OF THE AMERICAS</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(1)</w:t>
            </w:r>
          </w:p>
        </w:tc>
        <w:tc>
          <w:tcPr>
            <w:tcW w:w="4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54,983</w:t>
            </w:r>
          </w:p>
        </w:tc>
        <w:tc>
          <w:tcPr>
            <w:tcW w:w="80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820" w:type="dxa"/>
            <w:vAlign w:val="bottom"/>
            <w:gridSpan w:val="6"/>
          </w:tcPr>
          <w:p>
            <w:pPr>
              <w:ind w:left="2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6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ind w:left="1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980" w:type="dxa"/>
            <w:vAlign w:val="bottom"/>
          </w:tcPr>
          <w:p>
            <w:pPr>
              <w:spacing w:after="0"/>
              <w:rPr>
                <w:sz w:val="12"/>
                <w:szCs w:val="12"/>
                <w:color w:val="auto"/>
              </w:rPr>
            </w:pPr>
          </w:p>
        </w:tc>
        <w:tc>
          <w:tcPr>
            <w:tcW w:w="8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98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rPr>
              <w:t>Class D common stock</w:t>
            </w:r>
          </w:p>
        </w:tc>
        <w:tc>
          <w:tcPr>
            <w:tcW w:w="1360" w:type="dxa"/>
            <w:vAlign w:val="bottom"/>
            <w:gridSpan w:val="2"/>
          </w:tcPr>
          <w:p>
            <w:pPr>
              <w:jc w:val="center"/>
              <w:ind w:left="396"/>
              <w:spacing w:after="0"/>
              <w:rPr>
                <w:sz w:val="20"/>
                <w:szCs w:val="20"/>
                <w:color w:val="auto"/>
              </w:rPr>
            </w:pPr>
            <w:r>
              <w:rPr>
                <w:rFonts w:ascii="Arial" w:cs="Arial" w:eastAsia="Arial" w:hAnsi="Arial"/>
                <w:sz w:val="11"/>
                <w:szCs w:val="11"/>
                <w:color w:val="008000"/>
                <w:w w:val="96"/>
              </w:rPr>
              <w:t>(2)(3)</w:t>
            </w:r>
          </w:p>
        </w:tc>
        <w:tc>
          <w:tcPr>
            <w:tcW w:w="80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1980" w:type="dxa"/>
            <w:vAlign w:val="bottom"/>
          </w:tcPr>
          <w:p>
            <w:pPr>
              <w:ind w:left="220"/>
              <w:spacing w:after="0"/>
              <w:rPr>
                <w:sz w:val="20"/>
                <w:szCs w:val="20"/>
                <w:color w:val="auto"/>
              </w:rPr>
            </w:pPr>
            <w:r>
              <w:rPr>
                <w:rFonts w:ascii="Arial" w:cs="Arial" w:eastAsia="Arial" w:hAnsi="Arial"/>
                <w:sz w:val="18"/>
                <w:szCs w:val="18"/>
                <w:color w:val="0000FF"/>
                <w:w w:val="94"/>
              </w:rPr>
              <w:t>Class C common stock</w:t>
            </w:r>
          </w:p>
        </w:tc>
        <w:tc>
          <w:tcPr>
            <w:tcW w:w="800" w:type="dxa"/>
            <w:vAlign w:val="bottom"/>
          </w:tcPr>
          <w:p>
            <w:pPr>
              <w:jc w:val="center"/>
              <w:ind w:left="3"/>
              <w:spacing w:after="0"/>
              <w:rPr>
                <w:sz w:val="20"/>
                <w:szCs w:val="20"/>
                <w:color w:val="auto"/>
              </w:rPr>
            </w:pPr>
            <w:r>
              <w:rPr>
                <w:rFonts w:ascii="Arial" w:cs="Arial" w:eastAsia="Arial" w:hAnsi="Arial"/>
                <w:sz w:val="18"/>
                <w:szCs w:val="18"/>
                <w:color w:val="0000FF"/>
                <w:w w:val="87"/>
              </w:rPr>
              <w:t>39,243</w:t>
            </w:r>
          </w:p>
        </w:tc>
        <w:tc>
          <w:tcPr>
            <w:tcW w:w="88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w w:val="96"/>
              </w:rPr>
              <w:t>Non-voting common units of Tradeweb</w:t>
            </w:r>
          </w:p>
        </w:tc>
        <w:tc>
          <w:tcPr>
            <w:tcW w:w="1360" w:type="dxa"/>
            <w:vAlign w:val="bottom"/>
            <w:gridSpan w:val="2"/>
            <w:vMerge w:val="restart"/>
          </w:tcPr>
          <w:p>
            <w:pPr>
              <w:jc w:val="center"/>
              <w:ind w:left="396"/>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980" w:type="dxa"/>
            <w:vAlign w:val="bottom"/>
            <w:vMerge w:val="restart"/>
          </w:tcPr>
          <w:p>
            <w:pPr>
              <w:ind w:left="220"/>
              <w:spacing w:after="0"/>
              <w:rPr>
                <w:sz w:val="20"/>
                <w:szCs w:val="20"/>
                <w:color w:val="auto"/>
              </w:rPr>
            </w:pPr>
            <w:r>
              <w:rPr>
                <w:rFonts w:ascii="Arial" w:cs="Arial" w:eastAsia="Arial" w:hAnsi="Arial"/>
                <w:sz w:val="18"/>
                <w:szCs w:val="18"/>
                <w:color w:val="0000FF"/>
                <w:w w:val="95"/>
              </w:rPr>
              <w:t>Class A common stock</w:t>
            </w:r>
          </w:p>
        </w:tc>
        <w:tc>
          <w:tcPr>
            <w:tcW w:w="800" w:type="dxa"/>
            <w:vAlign w:val="bottom"/>
            <w:vMerge w:val="restart"/>
          </w:tcPr>
          <w:p>
            <w:pPr>
              <w:jc w:val="center"/>
              <w:ind w:left="3"/>
              <w:spacing w:after="0"/>
              <w:rPr>
                <w:sz w:val="20"/>
                <w:szCs w:val="20"/>
                <w:color w:val="auto"/>
              </w:rPr>
            </w:pPr>
            <w:r>
              <w:rPr>
                <w:rFonts w:ascii="Arial" w:cs="Arial" w:eastAsia="Arial" w:hAnsi="Arial"/>
                <w:sz w:val="18"/>
                <w:szCs w:val="18"/>
                <w:color w:val="0000FF"/>
                <w:w w:val="87"/>
              </w:rPr>
              <w:t>39,243</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Markets LLC</w:t>
            </w:r>
          </w:p>
        </w:tc>
        <w:tc>
          <w:tcPr>
            <w:tcW w:w="13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360" w:type="dxa"/>
            <w:vAlign w:val="bottom"/>
            <w:gridSpan w:val="2"/>
          </w:tcPr>
          <w:p>
            <w:pPr>
              <w:jc w:val="center"/>
              <w:ind w:left="396"/>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10/26/2028</w:t>
            </w:r>
          </w:p>
        </w:tc>
        <w:tc>
          <w:tcPr>
            <w:tcW w:w="1980" w:type="dxa"/>
            <w:vAlign w:val="bottom"/>
          </w:tcPr>
          <w:p>
            <w:pPr>
              <w:ind w:left="220"/>
              <w:spacing w:after="0"/>
              <w:rPr>
                <w:sz w:val="20"/>
                <w:szCs w:val="20"/>
                <w:color w:val="auto"/>
              </w:rPr>
            </w:pPr>
            <w:r>
              <w:rPr>
                <w:rFonts w:ascii="Arial" w:cs="Arial" w:eastAsia="Arial" w:hAnsi="Arial"/>
                <w:sz w:val="18"/>
                <w:szCs w:val="18"/>
                <w:color w:val="0000FF"/>
                <w:w w:val="95"/>
              </w:rPr>
              <w:t>Class A common stock</w:t>
            </w:r>
          </w:p>
        </w:tc>
        <w:tc>
          <w:tcPr>
            <w:tcW w:w="800" w:type="dxa"/>
            <w:vAlign w:val="bottom"/>
          </w:tcPr>
          <w:p>
            <w:pPr>
              <w:jc w:val="center"/>
              <w:ind w:left="3"/>
              <w:spacing w:after="0"/>
              <w:rPr>
                <w:sz w:val="20"/>
                <w:szCs w:val="20"/>
                <w:color w:val="auto"/>
              </w:rPr>
            </w:pPr>
            <w:r>
              <w:rPr>
                <w:rFonts w:ascii="Arial" w:cs="Arial" w:eastAsia="Arial" w:hAnsi="Arial"/>
                <w:sz w:val="18"/>
                <w:szCs w:val="18"/>
                <w:color w:val="0000FF"/>
                <w:w w:val="86"/>
              </w:rPr>
              <w:t>332,126</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20.59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30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was granted two awards of restricted stock units under the terms of the Amended and Restated Tradeweb Markets Inc. PRSU Plan consisting of (i) a grant of 30,355 restricted stock units which will vest on January 1, 2020, and (ii) a grant of 24,628 restricted stock units which will vest on January 1, 2021, each subject to the reporting person's continued employment on such date. Each grant of restricted stock units represents a contingent right to receive one share of Class A common stock of the issuer ("Class A Common Stock").</w:t>
      </w:r>
    </w:p>
    <w:p>
      <w:pPr>
        <w:spacing w:after="0" w:line="2" w:lineRule="exact"/>
        <w:rPr>
          <w:rFonts w:ascii="Arial" w:cs="Arial" w:eastAsia="Arial" w:hAnsi="Arial"/>
          <w:sz w:val="12"/>
          <w:szCs w:val="12"/>
          <w:color w:val="008000"/>
        </w:rPr>
      </w:pPr>
    </w:p>
    <w:p>
      <w:pPr>
        <w:ind w:left="40" w:right="14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of Class D common stock of the issuer ("Class D Common Stock") have ten votes per share but no economic rights (including rights to dividends or, other than their par value, any distribution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31" w:lineRule="exact"/>
        <w:rPr>
          <w:rFonts w:ascii="Arial" w:cs="Arial" w:eastAsia="Arial" w:hAnsi="Arial"/>
          <w:sz w:val="14"/>
          <w:szCs w:val="14"/>
          <w:color w:val="008000"/>
        </w:rPr>
      </w:pPr>
    </w:p>
    <w:p>
      <w:pPr>
        <w:ind w:left="40" w:right="22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(or shares of Class C Common Stock, in the event the reporting person exchanged their shares of Class D Common Stock as described in footnote 2 to this Form 3) will be canceled. These exchange rights do not expire.</w:t>
      </w:r>
    </w:p>
    <w:p>
      <w:pPr>
        <w:spacing w:after="0" w:line="2" w:lineRule="exact"/>
        <w:rPr>
          <w:rFonts w:ascii="Arial" w:cs="Arial" w:eastAsia="Arial" w:hAnsi="Arial"/>
          <w:sz w:val="12"/>
          <w:szCs w:val="12"/>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owns an option to purchase 332,126 shares of Class A Common Stock, which is vested as to 265,701 of the shares subject thereto as of the date hereof. The remainder of the option will vest on January 1, 2020, subject to the reporting person's continued employment on such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04/04/2019</w:t>
            </w:r>
          </w:p>
        </w:tc>
        <w:tc>
          <w:tcPr>
            <w:tcW w:w="0" w:type="dxa"/>
            <w:vAlign w:val="bottom"/>
          </w:tcPr>
          <w:p>
            <w:pPr>
              <w:spacing w:after="0"/>
              <w:rPr>
                <w:sz w:val="1"/>
                <w:szCs w:val="1"/>
                <w:color w:val="auto"/>
              </w:rPr>
            </w:pPr>
          </w:p>
        </w:tc>
      </w:tr>
      <w:tr>
        <w:trPr>
          <w:trHeight w:val="88"/>
        </w:trPr>
        <w:tc>
          <w:tcPr>
            <w:tcW w:w="178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Fact for Robert Warshaw</w:t>
            </w:r>
          </w:p>
        </w:tc>
        <w:tc>
          <w:tcPr>
            <w:tcW w:w="4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80" w:type="dxa"/>
            <w:vAlign w:val="bottom"/>
            <w:tcBorders>
              <w:bottom w:val="single" w:sz="8" w:color="auto"/>
            </w:tcBorders>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2"/>
          <w:szCs w:val="22"/>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Douglas Friedman, Scott Zucker and Scott Wells, and each of them, with full power of substitution, the undersigned’s true and lawful attorneys-in-fact to:</w:t>
      </w:r>
    </w:p>
    <w:p>
      <w:pPr>
        <w:spacing w:after="0" w:line="197" w:lineRule="exact"/>
        <w:rPr>
          <w:sz w:val="20"/>
          <w:szCs w:val="20"/>
          <w:color w:val="auto"/>
        </w:rPr>
      </w:pPr>
    </w:p>
    <w:p>
      <w:pPr>
        <w:ind w:left="1300" w:right="40" w:hanging="644"/>
        <w:spacing w:after="0" w:line="297"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executive officer, director and/or beneficial owner of equity securities of Tradeweb Markets Inc. (the “</w:t>
      </w:r>
      <w:r>
        <w:rPr>
          <w:rFonts w:ascii="Arial" w:cs="Arial" w:eastAsia="Arial" w:hAnsi="Arial"/>
          <w:sz w:val="16"/>
          <w:szCs w:val="16"/>
          <w:u w:val="single" w:color="auto"/>
          <w:color w:val="auto"/>
        </w:rPr>
        <w:t>Company</w:t>
      </w:r>
      <w:r>
        <w:rPr>
          <w:rFonts w:ascii="Arial" w:cs="Arial" w:eastAsia="Arial" w:hAnsi="Arial"/>
          <w:sz w:val="16"/>
          <w:szCs w:val="16"/>
          <w:color w:val="auto"/>
        </w:rPr>
        <w:t>”), (i) any forms required to be filed by the undersigned pursuant to Rule 144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104"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w:t>
      </w:r>
    </w:p>
    <w:p>
      <w:pPr>
        <w:spacing w:after="0" w:line="46" w:lineRule="exact"/>
        <w:rPr>
          <w:rFonts w:ascii="Arial" w:cs="Arial" w:eastAsia="Arial" w:hAnsi="Arial"/>
          <w:sz w:val="16"/>
          <w:szCs w:val="16"/>
          <w:color w:val="auto"/>
        </w:rPr>
      </w:pPr>
    </w:p>
    <w:p>
      <w:pPr>
        <w:ind w:left="1300"/>
        <w:spacing w:after="0" w:line="254" w:lineRule="auto"/>
        <w:rPr>
          <w:rFonts w:ascii="Arial" w:cs="Arial" w:eastAsia="Arial" w:hAnsi="Arial"/>
          <w:sz w:val="16"/>
          <w:szCs w:val="16"/>
          <w:color w:val="auto"/>
        </w:rPr>
      </w:pPr>
      <w:r>
        <w:rPr>
          <w:rFonts w:ascii="Arial" w:cs="Arial" w:eastAsia="Arial" w:hAnsi="Arial"/>
          <w:sz w:val="18"/>
          <w:szCs w:val="18"/>
          <w:color w:val="auto"/>
        </w:rPr>
        <w:t>(i)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135" w:lineRule="exact"/>
        <w:rPr>
          <w:rFonts w:ascii="Arial" w:cs="Arial" w:eastAsia="Arial" w:hAnsi="Arial"/>
          <w:sz w:val="16"/>
          <w:szCs w:val="16"/>
          <w:color w:val="auto"/>
        </w:rPr>
      </w:pPr>
    </w:p>
    <w:p>
      <w:pPr>
        <w:jc w:val="both"/>
        <w:ind w:left="1300" w:right="2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2019.</w:t>
      </w:r>
    </w:p>
    <w:p>
      <w:pPr>
        <w:spacing w:after="0" w:line="1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Robert Warshaw</w:t>
      </w:r>
    </w:p>
    <w:sectPr>
      <w:pgSz w:w="11900" w:h="16838" w:orient="portrait"/>
      <w:cols w:equalWidth="0" w:num="1">
        <w:col w:w="11400"/>
      </w:cols>
      <w:pgMar w:left="240" w:top="6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278872" TargetMode="External"/><Relationship Id="rId12"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2019-12-24T08:07:59Z</dcterms:created>
  <dcterms:modified xsi:type="dcterms:W3CDTF">2019-12-24T08:07:59Z</dcterms:modified>
</cp:coreProperties>
</file>