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WARSHAW ROBERT J</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08/17/2020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8"/>
        <w:spacing w:after="0"/>
        <w:rPr>
          <w:sz w:val="20"/>
          <w:szCs w:val="20"/>
          <w:color w:val="auto"/>
        </w:rPr>
      </w:pPr>
      <w:r>
        <w:rPr>
          <w:rFonts w:ascii="Arial" w:cs="Arial" w:eastAsia="Arial" w:hAnsi="Arial"/>
          <w:sz w:val="17"/>
          <w:szCs w:val="17"/>
          <w:color w:val="0000FF"/>
        </w:rPr>
        <w:t>Chief Financial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08/17/2020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16,000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81,115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08/17/2020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15,072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54.7325</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66,043</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08/17/2020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928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55.3404</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65,115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16,000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08/17/2020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16,000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66,270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-3581400</wp:posOffset>
            </wp:positionV>
            <wp:extent cx="7033260" cy="3623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62331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18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24,628 unvested restricted stock units ("RSUs") in respect of the issuer's Class A common stock ("Class A Common Stock") which are scheduled to vest on January 1, 2021, (ii) 22,004 unvested RSUs in respect of Class A Common Stock which are scheduled to vest on January 1, 2022, and (iii) 10,483 unvested RSUs in respect of Class A Common Stock which are scheduled to vest in equal installments on each of the first, second and third anniversaries of March 17, 2020, in each case subject to the reporting person's continued employed through the applicable vesting date.</w:t>
      </w:r>
    </w:p>
    <w:p>
      <w:pPr>
        <w:spacing w:after="0" w:line="14" w:lineRule="exact"/>
        <w:rPr>
          <w:rFonts w:ascii="Arial" w:cs="Arial" w:eastAsia="Arial" w:hAnsi="Arial"/>
          <w:sz w:val="12"/>
          <w:szCs w:val="12"/>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$54.24 to $55.21,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$55.25 to $55.42,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08/18/2020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Robert Warshaw</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887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2020-08-18T15:26:06Z</dcterms:created>
  <dcterms:modified xsi:type="dcterms:W3CDTF">2020-08-18T15:26:06Z</dcterms:modified>
</cp:coreProperties>
</file>