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4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422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WARSHAW ROBERT J</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8"/>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2"/>
              </w:rPr>
              <w:t>22,004</w:t>
            </w:r>
            <w:r>
              <w:rPr>
                <w:rFonts w:ascii="Arial" w:cs="Arial" w:eastAsia="Arial" w:hAnsi="Arial"/>
                <w:sz w:val="22"/>
                <w:szCs w:val="22"/>
                <w:color w:val="008000"/>
                <w:w w:val="82"/>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54,632</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140"/>
              <w:spacing w:after="0" w:line="212" w:lineRule="exact"/>
              <w:rPr>
                <w:sz w:val="20"/>
                <w:szCs w:val="20"/>
                <w:color w:val="auto"/>
              </w:rPr>
            </w:pPr>
            <w:r>
              <w:rPr>
                <w:rFonts w:ascii="Arial" w:cs="Arial" w:eastAsia="Arial" w:hAnsi="Arial"/>
                <w:sz w:val="13"/>
                <w:szCs w:val="13"/>
                <w:color w:val="0000FF"/>
              </w:rPr>
              <w:t>66,426</w:t>
            </w:r>
            <w:r>
              <w:rPr>
                <w:rFonts w:ascii="Arial" w:cs="Arial" w:eastAsia="Arial" w:hAnsi="Arial"/>
                <w:sz w:val="22"/>
                <w:szCs w:val="22"/>
                <w:color w:val="008000"/>
                <w:vertAlign w:val="superscript"/>
              </w:rPr>
              <w:t>(3)</w:t>
            </w:r>
          </w:p>
        </w:tc>
        <w:tc>
          <w:tcPr>
            <w:tcW w:w="300" w:type="dxa"/>
            <w:vAlign w:val="bottom"/>
          </w:tcPr>
          <w:p>
            <w:pPr>
              <w:spacing w:after="0"/>
              <w:rPr>
                <w:sz w:val="5"/>
                <w:szCs w:val="5"/>
                <w:color w:val="auto"/>
              </w:rPr>
            </w:pPr>
          </w:p>
        </w:tc>
        <w:tc>
          <w:tcPr>
            <w:tcW w:w="82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66,426</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40"/>
              <w:spacing w:after="0" w:line="212" w:lineRule="exact"/>
              <w:rPr>
                <w:sz w:val="20"/>
                <w:szCs w:val="20"/>
                <w:color w:val="auto"/>
              </w:rPr>
            </w:pPr>
            <w:r>
              <w:rPr>
                <w:rFonts w:ascii="Arial" w:cs="Arial" w:eastAsia="Arial" w:hAnsi="Arial"/>
                <w:sz w:val="13"/>
                <w:szCs w:val="13"/>
                <w:color w:val="0000FF"/>
              </w:rPr>
              <w:t>292,270</w:t>
            </w:r>
            <w:r>
              <w:rPr>
                <w:rFonts w:ascii="Arial" w:cs="Arial" w:eastAsia="Arial" w:hAnsi="Arial"/>
                <w:sz w:val="22"/>
                <w:szCs w:val="22"/>
                <w:color w:val="008000"/>
                <w:vertAlign w:val="superscript"/>
              </w:rPr>
              <w:t>(5)</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6"/>
                <w:szCs w:val="6"/>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02/21/2020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7" w:lineRule="exact"/>
        <w:rPr>
          <w:rFonts w:ascii="Arial" w:cs="Arial" w:eastAsia="Arial" w:hAnsi="Arial"/>
          <w:sz w:val="12"/>
          <w:szCs w:val="12"/>
          <w:color w:val="008000"/>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RSUs in respect of Class A Common Stock which are scheduled to vest on January 1, 2021, subject to the reporting person's continued employment through such date, and (ii) 22,004 unvested RSUs in respect of Class A Common Stock which are scheduled to vest on January 1, 2022, subject to the reporting person's continued employment through such date.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0"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225,844 options that were granted on October 26, 2018 and previously reported by the reporting person, all of which are currently vested and exercisable.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Zucker, Attorney-in-</w:t>
            </w:r>
          </w:p>
        </w:tc>
        <w:tc>
          <w:tcPr>
            <w:tcW w:w="2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02/25/2020</w:t>
            </w:r>
          </w:p>
        </w:tc>
        <w:tc>
          <w:tcPr>
            <w:tcW w:w="0" w:type="dxa"/>
            <w:vAlign w:val="bottom"/>
          </w:tcPr>
          <w:p>
            <w:pPr>
              <w:spacing w:after="0"/>
              <w:rPr>
                <w:sz w:val="1"/>
                <w:szCs w:val="1"/>
                <w:color w:val="auto"/>
              </w:rPr>
            </w:pPr>
          </w:p>
        </w:tc>
      </w:tr>
      <w:tr>
        <w:trPr>
          <w:trHeight w:val="91"/>
        </w:trPr>
        <w:tc>
          <w:tcPr>
            <w:tcW w:w="1740" w:type="dxa"/>
            <w:vAlign w:val="bottom"/>
            <w:vMerge w:val="restart"/>
          </w:tcPr>
          <w:p>
            <w:pPr>
              <w:spacing w:after="0" w:line="193" w:lineRule="exact"/>
              <w:rPr>
                <w:sz w:val="20"/>
                <w:szCs w:val="20"/>
                <w:color w:val="auto"/>
              </w:rPr>
            </w:pPr>
            <w:r>
              <w:rPr>
                <w:rFonts w:ascii="Arial" w:cs="Arial" w:eastAsia="Arial" w:hAnsi="Arial"/>
                <w:sz w:val="17"/>
                <w:szCs w:val="17"/>
                <w:color w:val="0000FF"/>
                <w:w w:val="91"/>
              </w:rPr>
              <w:t>Fact for Robert Warshaw</w:t>
            </w:r>
          </w:p>
        </w:tc>
        <w:tc>
          <w:tcPr>
            <w:tcW w:w="5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4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2020-02-25T17:52:32Z</dcterms:created>
  <dcterms:modified xsi:type="dcterms:W3CDTF">2020-02-25T17:52:32Z</dcterms:modified>
</cp:coreProperties>
</file>