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3651250"/>
                <wp:effectExtent l="0" t="0" r="0" b="0"/>
                <wp:wrapNone/>
                <wp:docPr id="1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6512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33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3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restart"/>
                                  <w:tcBorders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vMerge w:val="restart"/>
                                  <w:tcBorders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2EFF6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continue"/>
                                  <w:tcBorders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vMerge w:val="continue"/>
                                  <w:tcBorders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326CA5"/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165A8E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continue"/>
                                  <w:tcBorders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vMerge w:val="continue"/>
                                  <w:tcBorders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left w:val="single" w:sz="8" w:space="0" w:color="165A8E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left w:val="single" w:sz="8" w:space="0" w:color="165A8E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  <w:right w:val="single" w:sz="8" w:space="0" w:color="165A8E"/>
                                  </w:tcBorders>
                                  <w:shd w:fill="F2EFF6" w:val="clear"/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left w:val="single" w:sz="8" w:space="0" w:color="165A8E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5" w:type="dxa"/>
                                  <w:gridSpan w:val="5"/>
                                  <w:tcBorders>
                                    <w:top w:val="single" w:sz="8" w:space="0" w:color="326CA5"/>
                                    <w:bottom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33" w:type="dxa"/>
                                  <w:gridSpan w:val="2"/>
                                  <w:tcBorders>
                                    <w:top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326CA5"/>
                                  </w:tcBorders>
                                  <w:shd w:fill="F2EFF6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5" w:type="dxa"/>
                                  <w:gridSpan w:val="5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87.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33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3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restart"/>
                            <w:tcBorders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vMerge w:val="restart"/>
                            <w:tcBorders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2EFF6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continue"/>
                            <w:tcBorders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54" w:type="dxa"/>
                            <w:vMerge w:val="continue"/>
                            <w:tcBorders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326CA5"/>
                              <w:right w:val="single" w:sz="8" w:space="0" w:color="165A8E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165A8E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continue"/>
                            <w:tcBorders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54" w:type="dxa"/>
                            <w:vMerge w:val="continue"/>
                            <w:tcBorders>
                              <w:bottom w:val="single" w:sz="8" w:space="0" w:color="326CA5"/>
                            </w:tcBorders>
                            <w:shd w:fill="F2EFF6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bottom w:val="single" w:sz="8" w:space="0" w:color="326CA5"/>
                              <w:right w:val="single" w:sz="8" w:space="0" w:color="165A8E"/>
                            </w:tcBorders>
                            <w:shd w:fill="F2EFF6" w:val="clear"/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left w:val="single" w:sz="8" w:space="0" w:color="165A8E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bottom w:val="single" w:sz="8" w:space="0" w:color="326CA5"/>
                              <w:right w:val="single" w:sz="8" w:space="0" w:color="165A8E"/>
                            </w:tcBorders>
                            <w:shd w:fill="F2EFF6" w:val="clear"/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left w:val="single" w:sz="8" w:space="0" w:color="165A8E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bottom w:val="single" w:sz="8" w:space="0" w:color="326CA5"/>
                              <w:right w:val="single" w:sz="8" w:space="0" w:color="165A8E"/>
                            </w:tcBorders>
                            <w:shd w:fill="F2EFF6" w:val="clear"/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left w:val="single" w:sz="8" w:space="0" w:color="165A8E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5" w:type="dxa"/>
                            <w:gridSpan w:val="5"/>
                            <w:tcBorders>
                              <w:top w:val="single" w:sz="8" w:space="0" w:color="326CA5"/>
                              <w:bottom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33" w:type="dxa"/>
                            <w:gridSpan w:val="2"/>
                            <w:tcBorders>
                              <w:top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326CA5"/>
                            </w:tcBorders>
                            <w:shd w:fill="F2EFF6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5" w:type="dxa"/>
                            <w:gridSpan w:val="5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97230"/>
                <wp:effectExtent l="0" t="0" r="0" b="0"/>
                <wp:wrapNone/>
                <wp:docPr id="2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972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32" w:space="0" w:color="154E6F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4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32" w:space="0" w:color="154E6F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898525</wp:posOffset>
                </wp:positionH>
                <wp:positionV relativeFrom="page">
                  <wp:posOffset>0</wp:posOffset>
                </wp:positionV>
                <wp:extent cx="5857875" cy="3618230"/>
                <wp:effectExtent l="0" t="0" r="0" b="0"/>
                <wp:wrapNone/>
                <wp:docPr id="3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36182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47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" w:type="dxa"/>
                                  <w:gridSpan w:val="3"/>
                                  <w:vMerge w:val="restart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gridSpan w:val="10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" w:type="dxa"/>
                                  <w:gridSpan w:val="3"/>
                                  <w:vMerge w:val="continue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8" w:type="dxa"/>
                                  <w:gridSpan w:val="7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00487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restart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vMerge w:val="restart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8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8" w:space="0" w:color="007BB6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24" w:space="0" w:color="007BB6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1.25pt;height:284.9pt;mso-wrap-distance-left:0pt;mso-wrap-distance-right:0pt;mso-wrap-distance-top:0pt;mso-wrap-distance-bottom:0pt;margin-top:0pt;mso-position-vertical-relative:page;margin-left:70.75pt;mso-position-horizontal-relative:page">
                <v:textbox>
                  <w:txbxContent>
                    <w:tbl>
                      <w:tblPr>
                        <w:tblW w:w="147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" w:type="dxa"/>
                            <w:gridSpan w:val="3"/>
                            <w:vMerge w:val="restart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gridSpan w:val="10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" w:type="dxa"/>
                            <w:gridSpan w:val="3"/>
                            <w:vMerge w:val="continue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8" w:type="dxa"/>
                            <w:gridSpan w:val="7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00487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restart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vMerge w:val="restart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1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8" w:space="0" w:color="007BB6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8" w:space="0" w:color="007BB6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24" w:space="0" w:color="007BB6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3108960"/>
                <wp:effectExtent l="0" t="0" r="0" b="0"/>
                <wp:wrapNone/>
                <wp:docPr id="4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1089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1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vMerge w:val="restart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0077A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vMerge w:val="restart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vMerge w:val="continue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1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  <w:gridSpan w:val="4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1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154E6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44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1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vMerge w:val="restart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0077A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vMerge w:val="restart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vMerge w:val="continue"/>
                            <w:tcBorders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1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1" w:type="dxa"/>
                            <w:gridSpan w:val="4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1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154E6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84530"/>
                <wp:effectExtent l="0" t="0" r="0" b="0"/>
                <wp:wrapNone/>
                <wp:docPr id="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doub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3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doub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642110"/>
                <wp:effectExtent l="0" t="0" r="0" b="0"/>
                <wp:wrapNone/>
                <wp:docPr id="6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6421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29.3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620010"/>
                <wp:effectExtent l="0" t="0" r="0" b="0"/>
                <wp:wrapNone/>
                <wp:docPr id="7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6200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06.3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84530"/>
                <wp:effectExtent l="0" t="0" r="0" b="0"/>
                <wp:wrapNone/>
                <wp:docPr id="8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doub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3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doub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4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  <w:t xml:space="preserve">UNITED STATES 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  <w:t xml:space="preserve">SECURITIES AND EXCHANGE COMMISSION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4"/>
          <w:shd w:fill="E4E4E4" w:val="clear"/>
        </w:rPr>
        <w:t xml:space="preserve">Washington, D.C. 20549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4"/>
          <w:shd w:fill="E4E4E4" w:val="clear"/>
        </w:rPr>
        <w:t>______________________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  <w:t xml:space="preserve">SCHEDULE 14A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4"/>
          <w:shd w:fill="E4E4E4" w:val="clear"/>
        </w:rPr>
        <w:t xml:space="preserve">Proxy Statement Pursuant to Section 14(a) of the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4"/>
          <w:shd w:fill="E4E4E4" w:val="clear"/>
        </w:rPr>
        <w:t xml:space="preserve">Securities Exchange Act of 1934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4"/>
          <w:shd w:fill="E4E4E4" w:val="clear"/>
        </w:rPr>
        <w:t>______________________</w:t>
      </w:r>
    </w:p>
    <w:p>
      <w:pPr>
        <w:pStyle w:val="TextBody"/>
        <w:bidi w:val="0"/>
        <w:spacing w:lineRule="atLeast" w:line="154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E4E4E4" w:val="clear"/>
        </w:rPr>
        <w:t>Filed by the Registrant  </w:t>
      </w:r>
      <w:r>
        <w:rPr>
          <w:rFonts w:ascii="Wingdings" w:hAnsi="Wingdings"/>
          <w:b w:val="false"/>
          <w:i w:val="false"/>
          <w:caps w:val="false"/>
          <w:smallCaps w:val="false"/>
          <w:sz w:val="20"/>
          <w:shd w:fill="E4E4E4" w:val="clear"/>
        </w:rPr>
        <w:t>x</w:t>
      </w:r>
      <w:r>
        <w:rPr>
          <w:rFonts w:ascii="Arial;Sans Serif" w:hAnsi="Arial;Sans 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54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E4E4E4" w:val="clear"/>
        </w:rPr>
        <w:t>Filed by a Party other than the Registrant  </w:t>
      </w:r>
      <w:r>
        <w:rPr>
          <w:rFonts w:ascii="Wingdings" w:hAnsi="Wingdings"/>
          <w:b w:val="false"/>
          <w:i w:val="false"/>
          <w:caps w:val="false"/>
          <w:smallCaps w:val="false"/>
          <w:sz w:val="20"/>
          <w:shd w:fill="E4E4E4" w:val="clear"/>
        </w:rPr>
        <w:t>o</w:t>
      </w:r>
      <w:r>
        <w:rPr>
          <w:rFonts w:ascii="Arial;Sans Serif" w:hAnsi="Arial;Sans 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E4E4E4" w:val="clear"/>
        </w:rPr>
        <w:t xml:space="preserve">Check the appropriate box: 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36"/>
          <w:shd w:fill="E4E4E4" w:val="clear"/>
        </w:rPr>
        <w:t>Tradeweb Markets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  <w:shd w:fill="E4E4E4" w:val="clear"/>
        </w:rPr>
        <w:t xml:space="preserve">(Name of Registrant as Specified In Its Charter)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  <w:shd w:fill="E4E4E4" w:val="clear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E4E4E4" w:val="clear"/>
        </w:rPr>
        <w:t xml:space="preserve">Payment of Filing Fee (Check all boxes that apply):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18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30"/>
          <w:u w:val="none"/>
          <w:effect w:val="none"/>
          <w:shd w:fill="E4E4E4" w:val="clear"/>
        </w:rPr>
        <w:t>You invested in TRADEWEB MARKETS INC. and it's time to vote!</w:t>
      </w:r>
      <w:r>
        <w:rPr>
          <w:rFonts w:ascii="Arial;Sans Serif" w:hAnsi="Arial;Sans 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You have the right to vote on proposals being presented at the Annual Meeting. 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This is an important notice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regarding the availability of proxy material for the stockholder meeting to be held on May 10, 2024. </w:t>
      </w:r>
    </w:p>
    <w:p>
      <w:pPr>
        <w:pStyle w:val="TextBody"/>
        <w:bidi w:val="0"/>
        <w:spacing w:lineRule="atLeast" w:line="218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30"/>
          <w:u w:val="none"/>
          <w:effect w:val="none"/>
          <w:shd w:fill="E4E4E4" w:val="clear"/>
        </w:rPr>
        <w:t>Get informed before you vote</w:t>
      </w:r>
      <w:r>
        <w:rPr>
          <w:rFonts w:ascii="Arial;Sans Serif" w:hAnsi="Arial;Sans 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View the Annual Report and Notice &amp; Proxy Statement online OR you can receive a free paper or email copy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of the proxy material(s) by requesting such copy prior to April 26, 2024. If you would like to request a copy of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the proxy material(s) for this and/or future stockholder meetings, you may (1) visit www.ProxyVote.com, (2)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call 1-800-579-1639 or (3) send an email to sendmaterial@proxyvote.com. If sending an email, please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include your control number (indicated below) in the subject line. Unless requested, you will not otherwise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receive a paper or email copy of the proxy materials.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16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16"/>
          <w:u w:val="none"/>
          <w:effect w:val="none"/>
          <w:shd w:fill="E4E4E4" w:val="clear"/>
        </w:rPr>
        <w:t xml:space="preserve">*Please check the meeting materials for any special requirements for meeting attendance.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0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0"/>
          <w:shd w:fill="E4E4E4" w:val="clear"/>
        </w:rPr>
        <w:t>V1.1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18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77A9"/>
          <w:sz w:val="30"/>
          <w:u w:val="none"/>
          <w:effect w:val="none"/>
          <w:shd w:fill="E4E4E4" w:val="clear"/>
        </w:rPr>
        <w:t>Vote at www.ProxyVote.com</w:t>
      </w:r>
      <w:r>
        <w:rPr>
          <w:rFonts w:ascii="Arial;Sans Serif" w:hAnsi="Arial;Sans 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233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154E6F"/>
          <w:sz w:val="32"/>
          <w:u w:val="none"/>
          <w:effect w:val="none"/>
          <w:shd w:fill="E4E4E4" w:val="clear"/>
        </w:rPr>
        <w:t>THIS IS NOT A VOTABLE BALLOT</w:t>
      </w:r>
      <w:r>
        <w:rPr>
          <w:rFonts w:ascii="Arial;Sans Serif" w:hAnsi="Arial;Sans 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This is an overview of the more complete proxy materials, which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contain important information and are available on the Internet.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We encourage you to access and review the proxy materials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before voting. Please follow the instructions on the reverse side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154E6F"/>
          <w:sz w:val="20"/>
          <w:u w:val="none"/>
          <w:effect w:val="none"/>
          <w:shd w:fill="E4E4E4" w:val="clear"/>
        </w:rPr>
        <w:t xml:space="preserve">to vote on these important matters. 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Wingdings">
    <w:charset w:val="02"/>
    <w:family w:val="auto"/>
    <w:pitch w:val="default"/>
  </w:font>
  <w:font w:name="Arial">
    <w:altName w:val="Sans Serif"/>
    <w:charset w:val="01"/>
    <w:family w:val="auto"/>
    <w:pitch w:val="default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532</Words>
  <Characters>2869</Characters>
  <CharactersWithSpaces>3347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