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of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66" w:lineRule="exact"/>
        <w:rPr>
          <w:sz w:val="24"/>
          <w:szCs w:val="24"/>
          <w:color w:val="auto"/>
        </w:rPr>
      </w:pPr>
    </w:p>
    <w:p>
      <w:pPr>
        <w:ind w:right="10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66"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0"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1"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528"/>
              <w:spacing w:after="0"/>
              <w:rPr>
                <w:sz w:val="20"/>
                <w:szCs w:val="20"/>
                <w:color w:val="auto"/>
              </w:rPr>
            </w:pPr>
            <w:r>
              <w:rPr>
                <w:rFonts w:ascii="Times New Roman" w:cs="Times New Roman" w:eastAsia="Times New Roman" w:hAnsi="Times New Roman"/>
                <w:sz w:val="14"/>
                <w:szCs w:val="14"/>
                <w:color w:val="auto"/>
              </w:rPr>
              <w:t>Shares Outstanding as of April 20, 2023</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114,722,925</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23,082,971</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MARCH 31, 2023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300" w:type="dxa"/>
            <w:vAlign w:val="bottom"/>
            <w:gridSpan w:val="19"/>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300" w:type="dxa"/>
            <w:vAlign w:val="bottom"/>
            <w:gridSpan w:val="19"/>
            <w:vMerge w:val="continue"/>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4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18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March 31, 2023 and December 31,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top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rPr>
              <w:t>Condensed Consolidated Statements of Income for the three months ended March 31, 2023 and 2022</w:t>
            </w:r>
          </w:p>
        </w:tc>
        <w:tc>
          <w:tcPr>
            <w:tcW w:w="14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04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months ended March 31, 2023 and 2022</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Borders>
              <w:bottom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Changes in Equity for the three months ended March 31, 2023 and 2022</w:t>
            </w:r>
          </w:p>
        </w:tc>
        <w:tc>
          <w:tcPr>
            <w:tcW w:w="98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Cash Flows for the three months ended March 31, 2023 and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3580" w:type="dxa"/>
            <w:vAlign w:val="bottom"/>
            <w:tcBorders>
              <w:top w:val="single" w:sz="8" w:color="3051F2"/>
            </w:tcBorders>
            <w:gridSpan w:val="6"/>
          </w:tcPr>
          <w:p>
            <w:pPr>
              <w:spacing w:after="0"/>
              <w:rPr>
                <w:sz w:val="24"/>
                <w:szCs w:val="24"/>
                <w:color w:val="auto"/>
              </w:rPr>
            </w:pPr>
          </w:p>
        </w:tc>
        <w:tc>
          <w:tcPr>
            <w:tcW w:w="148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120" w:type="dxa"/>
            <w:vAlign w:val="bottom"/>
            <w:tcBorders>
              <w:top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2140" w:type="dxa"/>
            <w:vAlign w:val="bottom"/>
            <w:tcBorders>
              <w:top w:val="single" w:sz="8" w:color="3051F2"/>
            </w:tcBorders>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75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4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79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440" w:type="dxa"/>
            <w:vAlign w:val="bottom"/>
            <w:gridSpan w:val="25"/>
          </w:tcPr>
          <w:p>
            <w:pPr>
              <w:ind w:left="160"/>
              <w:spacing w:after="0"/>
              <w:rPr>
                <w:sz w:val="20"/>
                <w:szCs w:val="20"/>
                <w:color w:val="auto"/>
              </w:rPr>
            </w:pPr>
            <w:r>
              <w:rPr>
                <w:rFonts w:ascii="Times New Roman" w:cs="Times New Roman" w:eastAsia="Times New Roman" w:hAnsi="Times New Roman"/>
                <w:sz w:val="18"/>
                <w:szCs w:val="18"/>
                <w:color w:val="3051F2"/>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492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3.</w:t>
            </w: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80" w:type="dxa"/>
            <w:vAlign w:val="bottom"/>
            <w:tcBorders>
              <w:top w:val="single" w:sz="8" w:color="3051F2"/>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696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796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As of March 31, 2023, there were no LLC Interests (as defined below) held by Bank Stockholders.</w:t>
      </w:r>
    </w:p>
    <w:p>
      <w:pPr>
        <w:spacing w:after="0" w:line="142"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London Stock Exchange Group plc (“LSEG”), in an all share transaction, which closed on January 29, 2021.</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18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21"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35"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expense, or the amounts necessary to service interest or principal payments on any debt obligations;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9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2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platforms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our environmental, social and governance goals;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or joint ventures;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platforms,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Refinitiv’s, and indirectly 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2022 (the “2022 Form 10-K”), filed with the Securities and Exchange Commission (“SEC”) and in other filings we may make from time to time with the SEC.</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1,232,675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1,257,229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23,906</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$152 and $129 at March 31, 2023 and December 31, 2022,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142,676</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141,833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2,780,259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1,072,818</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689,442</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79,177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74,262</w:t>
            </w: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6,240,066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8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0"/>
        </w:trPr>
        <w:tc>
          <w:tcPr>
            <w:tcW w:w="8440" w:type="dxa"/>
            <w:vAlign w:val="bottom"/>
            <w:tcBorders>
              <w:bottom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150,884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22,827</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46,690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and due to affiliates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21,251</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420,070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425,724</w:t>
            </w:r>
          </w:p>
        </w:tc>
      </w:tr>
      <w:tr>
        <w:trPr>
          <w:trHeight w:val="196"/>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639,201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713,815</w:t>
            </w:r>
          </w:p>
        </w:tc>
      </w:tr>
      <w:tr>
        <w:trPr>
          <w:trHeight w:val="135"/>
        </w:trPr>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111,428,118 and 110,746,606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 and December 31, 2022,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 and December 31, 2022, respectively</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3,251,177 and 3,251,177 shares issued and outstanding as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2023 and December 31, 2022,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23,083,971 and 23,092,704 shares issued and outstanding as of</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 and December 31, 2022, respectively</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4,577,609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4,577,270</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(10,113)</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433,049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r>
      <w:tr>
        <w:trPr>
          <w:trHeight w:val="189"/>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5,002,895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4,953,791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597,970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r>
      <w:tr>
        <w:trPr>
          <w:trHeight w:val="18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5,600,865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5,546,316</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6,240,066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266,598</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251,805</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41,455</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Refinitiv market data fees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186"/>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329,249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311,486</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117,991</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0" w:type="dxa"/>
            <w:vAlign w:val="bottom"/>
          </w:tcPr>
          <w:p>
            <w:pPr>
              <w:spacing w:after="0"/>
              <w:rPr>
                <w:sz w:val="1"/>
                <w:szCs w:val="1"/>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206,683</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199,884</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122,566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111,602</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income (expense)</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135,398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111,155</w:t>
            </w: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102,193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97,445</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14,480</w:t>
            </w: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87,856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82,965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208,105,437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204,061,347</w:t>
            </w:r>
          </w:p>
        </w:tc>
        <w:tc>
          <w:tcPr>
            <w:tcW w:w="0" w:type="dxa"/>
            <w:vAlign w:val="bottom"/>
          </w:tcPr>
          <w:p>
            <w:pPr>
              <w:spacing w:after="0"/>
              <w:rPr>
                <w:sz w:val="1"/>
                <w:szCs w:val="1"/>
                <w:color w:val="auto"/>
              </w:rPr>
            </w:pP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210,143,734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207,497,102</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300" w:type="dxa"/>
            <w:vAlign w:val="bottom"/>
            <w:gridSpan w:val="4"/>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r>
      <w:tr>
        <w:trPr>
          <w:trHeight w:val="203"/>
        </w:trPr>
        <w:tc>
          <w:tcPr>
            <w:tcW w:w="8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7"/>
                <w:szCs w:val="17"/>
                <w:color w:val="auto"/>
              </w:rPr>
            </w:pPr>
          </w:p>
        </w:tc>
      </w:tr>
      <w:tr>
        <w:trPr>
          <w:trHeight w:val="23"/>
        </w:trPr>
        <w:tc>
          <w:tcPr>
            <w:tcW w:w="8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102,193</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97,445</w:t>
            </w: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1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months ended March 31, 2023 and 2022</w:t>
            </w: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(4,098)</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(4,098)</w:t>
            </w:r>
          </w:p>
        </w:tc>
      </w:tr>
      <w:tr>
        <w:trPr>
          <w:trHeight w:val="203"/>
        </w:trPr>
        <w:tc>
          <w:tcPr>
            <w:tcW w:w="8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140"/>
          </w:cols>
          <w:pgMar w:left="320" w:top="121" w:right="439" w:bottom="1440" w:gutter="0" w:footer="0" w:header="0"/>
        </w:sectPr>
      </w:pPr>
    </w:p>
    <w:p>
      <w:pPr>
        <w:ind w:left="12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26670</wp:posOffset>
            </wp:positionV>
            <wp:extent cx="701230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p>
      <w:pPr>
        <w:spacing w:after="0" w:line="55" w:lineRule="exact"/>
        <w:rPr>
          <w:sz w:val="20"/>
          <w:szCs w:val="20"/>
          <w:color w:val="auto"/>
        </w:rPr>
      </w:pPr>
    </w:p>
    <w:p>
      <w:pPr>
        <w:ind w:left="120" w:right="2540"/>
        <w:spacing w:after="0" w:line="342" w:lineRule="auto"/>
        <w:rPr>
          <w:sz w:val="20"/>
          <w:szCs w:val="20"/>
          <w:color w:val="auto"/>
        </w:rPr>
      </w:pPr>
      <w:r>
        <w:rPr>
          <w:rFonts w:ascii="Times New Roman" w:cs="Times New Roman" w:eastAsia="Times New Roman" w:hAnsi="Times New Roman"/>
          <w:sz w:val="14"/>
          <w:szCs w:val="14"/>
          <w:color w:val="auto"/>
        </w:rPr>
        <w:t>Less: Foreign currency translation adjustments attributable to non-controlling interests Comprehensive income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-156210</wp:posOffset>
            </wp:positionV>
            <wp:extent cx="70123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20"/>
        <w:spacing w:after="0"/>
        <w:tabs>
          <w:tab w:leader="none" w:pos="2300" w:val="left"/>
        </w:tabs>
        <w:rPr>
          <w:sz w:val="20"/>
          <w:szCs w:val="20"/>
          <w:color w:val="auto"/>
        </w:rPr>
      </w:pPr>
      <w:r>
        <w:rPr>
          <w:rFonts w:ascii="Times New Roman" w:cs="Times New Roman" w:eastAsia="Times New Roman" w:hAnsi="Times New Roman"/>
          <w:sz w:val="14"/>
          <w:szCs w:val="14"/>
          <w:color w:val="auto"/>
        </w:rPr>
        <w:t>104,842</w:t>
      </w:r>
      <w:r>
        <w:rPr>
          <w:sz w:val="20"/>
          <w:szCs w:val="20"/>
          <w:color w:val="auto"/>
        </w:rPr>
        <w:tab/>
      </w:r>
      <w:r>
        <w:rPr>
          <w:rFonts w:ascii="Times New Roman" w:cs="Times New Roman" w:eastAsia="Times New Roman" w:hAnsi="Times New Roman"/>
          <w:sz w:val="14"/>
          <w:szCs w:val="14"/>
          <w:color w:val="auto"/>
        </w:rPr>
        <w:t>93,347</w:t>
      </w:r>
    </w:p>
    <w:p>
      <w:pPr>
        <w:spacing w:after="0" w:line="59" w:lineRule="exact"/>
        <w:rPr>
          <w:sz w:val="20"/>
          <w:szCs w:val="20"/>
          <w:color w:val="auto"/>
        </w:rPr>
      </w:pPr>
    </w:p>
    <w:p>
      <w:pPr>
        <w:ind w:left="880"/>
        <w:spacing w:after="0"/>
        <w:tabs>
          <w:tab w:leader="none" w:pos="2300" w:val="left"/>
        </w:tabs>
        <w:rPr>
          <w:sz w:val="20"/>
          <w:szCs w:val="20"/>
          <w:color w:val="auto"/>
        </w:rPr>
      </w:pPr>
      <w:r>
        <w:rPr>
          <w:rFonts w:ascii="Times New Roman" w:cs="Times New Roman" w:eastAsia="Times New Roman" w:hAnsi="Times New Roman"/>
          <w:sz w:val="14"/>
          <w:szCs w:val="14"/>
          <w:color w:val="auto"/>
        </w:rPr>
        <w:t>14,337</w:t>
      </w:r>
      <w:r>
        <w:rPr>
          <w:sz w:val="20"/>
          <w:szCs w:val="20"/>
          <w:color w:val="auto"/>
        </w:rPr>
        <w:tab/>
      </w:r>
      <w:r>
        <w:rPr>
          <w:rFonts w:ascii="Times New Roman" w:cs="Times New Roman" w:eastAsia="Times New Roman" w:hAnsi="Times New Roman"/>
          <w:sz w:val="14"/>
          <w:szCs w:val="14"/>
          <w:color w:val="auto"/>
        </w:rPr>
        <w:t>14,480</w:t>
      </w:r>
    </w:p>
    <w:p>
      <w:pPr>
        <w:spacing w:after="0" w:line="42" w:lineRule="exact"/>
        <w:rPr>
          <w:sz w:val="20"/>
          <w:szCs w:val="20"/>
          <w:color w:val="auto"/>
        </w:rPr>
      </w:pPr>
    </w:p>
    <w:p>
      <w:pPr>
        <w:jc w:val="both"/>
        <w:ind w:left="1060"/>
        <w:spacing w:after="0"/>
        <w:tabs>
          <w:tab w:leader="none" w:pos="2420" w:val="left"/>
        </w:tabs>
        <w:rPr>
          <w:sz w:val="20"/>
          <w:szCs w:val="20"/>
          <w:color w:val="auto"/>
        </w:rPr>
      </w:pPr>
      <w:r>
        <w:rPr>
          <w:rFonts w:ascii="Times New Roman" w:cs="Times New Roman" w:eastAsia="Times New Roman" w:hAnsi="Times New Roman"/>
          <w:sz w:val="14"/>
          <w:szCs w:val="14"/>
          <w:color w:val="auto"/>
        </w:rPr>
        <w:t>297</w:t>
      </w:r>
      <w:r>
        <w:rPr>
          <w:sz w:val="20"/>
          <w:szCs w:val="20"/>
          <w:color w:val="auto"/>
        </w:rPr>
        <w:tab/>
      </w:r>
      <w:r>
        <w:rPr>
          <w:rFonts w:ascii="Times New Roman" w:cs="Times New Roman" w:eastAsia="Times New Roman" w:hAnsi="Times New Roman"/>
          <w:sz w:val="14"/>
          <w:szCs w:val="14"/>
          <w:color w:val="auto"/>
        </w:rPr>
        <w:t>(530)</w:t>
      </w:r>
    </w:p>
    <w:p>
      <w:pPr>
        <w:spacing w:after="0" w:line="55" w:lineRule="exact"/>
        <w:rPr>
          <w:sz w:val="20"/>
          <w:szCs w:val="20"/>
          <w:color w:val="auto"/>
        </w:rPr>
      </w:pPr>
    </w:p>
    <w:p>
      <w:pPr>
        <w:spacing w:after="0"/>
        <w:tabs>
          <w:tab w:leader="none" w:pos="860" w:val="left"/>
          <w:tab w:leader="none" w:pos="1440" w:val="left"/>
          <w:tab w:leader="none" w:pos="23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90,208</w:t>
        <w:tab/>
        <w:t>$</w:t>
      </w:r>
      <w:r>
        <w:rPr>
          <w:sz w:val="20"/>
          <w:szCs w:val="20"/>
          <w:color w:val="auto"/>
        </w:rPr>
        <w:tab/>
      </w:r>
      <w:r>
        <w:rPr>
          <w:rFonts w:ascii="Times New Roman" w:cs="Times New Roman" w:eastAsia="Times New Roman" w:hAnsi="Times New Roman"/>
          <w:sz w:val="14"/>
          <w:szCs w:val="14"/>
          <w:color w:val="auto"/>
        </w:rPr>
        <w:t>79,397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774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7640" w:space="720"/>
            <w:col w:w="2780"/>
          </w:cols>
          <w:pgMar w:left="320" w:top="121" w:right="439" w:bottom="1440" w:gutter="0" w:footer="0" w:header="0"/>
          <w:type w:val="continuous"/>
        </w:sectPr>
      </w:pP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4,577,270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386,632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592,525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5,546,316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(22,706)</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15,082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15,082</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($0.09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under the PSU</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 Plan</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under the RSU</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6,810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under the</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 Plan</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102,193</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4,577,609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5,600,865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4,401,366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663,348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5,308,943</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38,676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38,676</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($0.08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(16,350)</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under the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PRSU Plan</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under the RSU</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under the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 Plan</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(95,758)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4,388,663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645,115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5,293,731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102,193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97,445</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13,712</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11,640</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(20,573)</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(14,996)</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(36,437)</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and due from affiliates/payable and due to affiliates,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20,511</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(81,025)</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r>
      <w:tr>
        <w:trPr>
          <w:trHeight w:val="196"/>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8,137</w:t>
            </w:r>
          </w:p>
        </w:tc>
      </w:tr>
      <w:tr>
        <w:trPr>
          <w:trHeight w:val="196"/>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45,243</w:t>
            </w:r>
          </w:p>
        </w:tc>
      </w:tr>
      <w:tr>
        <w:trPr>
          <w:trHeight w:val="19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(9,061)</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(8,979)</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(16,714)</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(18,040)</w:t>
            </w:r>
          </w:p>
        </w:tc>
      </w:tr>
      <w:tr>
        <w:trPr>
          <w:trHeight w:val="17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6"/>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(47,323)</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(93,927)</w:t>
            </w:r>
          </w:p>
        </w:tc>
      </w:tr>
      <w:tr>
        <w:trPr>
          <w:trHeight w:val="196"/>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w:t>
            </w:r>
          </w:p>
        </w:tc>
      </w:tr>
      <w:tr>
        <w:trPr>
          <w:trHeight w:val="20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(80,456)</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(168,081)</w:t>
            </w:r>
          </w:p>
        </w:tc>
      </w:tr>
      <w:tr>
        <w:trPr>
          <w:trHeight w:val="18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(143,987)</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973,048</w:t>
            </w:r>
          </w:p>
        </w:tc>
      </w:t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1,233,675</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829,061</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stock-based compensation exercises included in other assets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Unsettled share repurchases included in other liabilities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payable relating to stock-based compensation settlements included in accrued compensation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r>
      <w:tr>
        <w:trPr>
          <w:trHeight w:val="188"/>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15,153</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44,335</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as shown on the statements of financial condition:</w:t>
            </w:r>
          </w:p>
        </w:tc>
        <w:tc>
          <w:tcPr>
            <w:tcW w:w="240" w:type="dxa"/>
            <w:vAlign w:val="bottom"/>
          </w:tcPr>
          <w:p>
            <w:pPr>
              <w:spacing w:after="0"/>
              <w:rPr>
                <w:sz w:val="17"/>
                <w:szCs w:val="17"/>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1,232,675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1,257,229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1,233,675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1,258,229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80" w:type="dxa"/>
            <w:vAlign w:val="bottom"/>
          </w:tcPr>
          <w:p>
            <w:pPr>
              <w:spacing w:after="0"/>
              <w:rPr>
                <w:sz w:val="17"/>
                <w:szCs w:val="17"/>
                <w:color w:val="auto"/>
              </w:rPr>
            </w:pPr>
          </w:p>
        </w:tc>
        <w:tc>
          <w:tcPr>
            <w:tcW w:w="4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3051F2"/>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21"/>
                <w:szCs w:val="21"/>
                <w:color w:val="auto"/>
              </w:rPr>
            </w:pPr>
          </w:p>
        </w:tc>
        <w:tc>
          <w:tcPr>
            <w:tcW w:w="180" w:type="dxa"/>
            <w:vAlign w:val="bottom"/>
            <w:tcBorders>
              <w:top w:val="single" w:sz="8" w:color="3051F2"/>
              <w:bottom w:val="single" w:sz="8" w:color="3051F2"/>
            </w:tcBorders>
            <w:gridSpan w:val="2"/>
          </w:tcPr>
          <w:p>
            <w:pPr>
              <w:spacing w:after="0"/>
              <w:rPr>
                <w:sz w:val="21"/>
                <w:szCs w:val="21"/>
                <w:color w:val="auto"/>
              </w:rPr>
            </w:pPr>
          </w:p>
        </w:tc>
        <w:tc>
          <w:tcPr>
            <w:tcW w:w="140" w:type="dxa"/>
            <w:vAlign w:val="bottom"/>
            <w:tcBorders>
              <w:top w:val="single" w:sz="8" w:color="3051F2"/>
              <w:bottom w:val="single" w:sz="8" w:color="3051F2"/>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051F2"/>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5</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28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3051F2"/>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w:t>
      </w:r>
    </w:p>
    <w:p>
      <w:pPr>
        <w:spacing w:after="0" w:line="148"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March 31, 2023, Tradeweb Markets Inc. owned 88.8% of TWM LLC and the non-controlling interest holders own the remaining 11.2% of TWM LLC. As of December 31, 2022, Tradeweb Markets Inc. owned 88.7% of TWM LLC and the non-controlling interest holders owned the remaining 11.3% of TWM LLC.</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maintains branches in Asia.</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maintains a branch in France.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w:t>
      </w:r>
    </w:p>
    <w:p>
      <w:pPr>
        <w:spacing w:after="0" w:line="18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Commercial Information Consulting (Shanghai) Co., Ltd. a wholly-owned foreign enterprise (WOFE) for the purpose of providing consulting and marketing activities in China. The offshore electronic trading platform is recognized by the People’s Bank of China for the provision of Bond Connect and CIBM Direct.</w:t>
      </w:r>
    </w:p>
    <w:p>
      <w:pPr>
        <w:spacing w:after="0" w:line="14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central order limit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4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w:t>
      </w:r>
    </w:p>
    <w:p>
      <w:pPr>
        <w:spacing w:after="0" w:line="198" w:lineRule="exact"/>
        <w:rPr>
          <w:sz w:val="20"/>
          <w:szCs w:val="20"/>
          <w:color w:val="auto"/>
        </w:rPr>
      </w:pPr>
    </w:p>
    <w:p>
      <w:pPr>
        <w:ind w:left="660" w:right="3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111,428,118 shares of Class A common stock, representing 8.5% of the combined voting power of Tradeweb Markets Inc.’s issued and outstanding common stock and indirectly, through Tradeweb Markets Inc., owned 47.5% of the economic interest in TWM LLC;</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collectively owned 96,933,192 shares of Class B common stock and 22,988,329 shares of Class D common stock, representing 91.2% of the combined voting power of Tradeweb Markets Inc.’s issued and outstanding common stock and directly and indirectly, through Tradeweb Markets Inc., owned 51.1% of the economic interest in TWM LLC;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3,251,177 shares of Class C common stock and 95,642 shares of Class D common stock, representing 0.3% of the combined voting power of Tradeweb Markets Inc.’s issued and outstanding common stock. Collectively, these stockholders directly owned 1.4% of the economic interest in TWM LLC.</w:t>
      </w:r>
    </w:p>
    <w:p>
      <w:pPr>
        <w:spacing w:after="0" w:line="1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for the three months ended March 31, 2023, the Company’s basic and diluted earnings per share calculation is impacted by 291,772 of weighted average shares resulting from unvested restricted stock units and unsettled vested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restricted stock units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and for the three months ended March 31, 2023 the Company’s diluted earnings per share calculation also includes 2,038,297 of weighted average shares resulting from the dilutive effect of its equity incentive plans. See Note 13 – Earnings Per Share for additional details.</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2022.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to the December 31, 2022 consolidated statement of financial condition, and related financial information, to conform to the current period presentation. These primarily include reclassifying approximately $2.7 million of related party balances from other assets to receivable and due from affiliates and $5.8 million of related party balances from accounts payable, accrued expenses and other liabilities to payable and due to affiliates. These reclassifications had no impact on total assets, total liabilities or total equity on the consolidated statement of financial condition, nor did they have any impact on the consolidated statements of income, comprehensive income, changes in equity or cash flows.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in the condensed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(such as short-term money market instruments) with remaining maturities at the time of purchase of three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11 – Credit Risk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with clearing organizations are comprised of cash deposits.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Furniture, Equipment, Purchased Software and Leasehold Improvements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2023 and December 31, 2022, accumulated depreciation related to furniture, equipment, purchased software and leasehold improvements totaled $79.3 million and $73.8 million, respectively. Depreciation expense for furniture, equipment, purchased software and leasehold improvements was $5.1 million and $4.7 million for the three months ended March 31, 2023 and 2022,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were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2023 and December 31, 2022, accumulated amortization related to software development costs totaled $180.1 million and $166.6 million, respectively. Amortization expense for software development costs was $13.5 million and $12.9 million for the three months ended March 31, 2023 and 2022,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2022 and no impairment of goodwill was identified.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As of March 31, 2023 and December 31, 2022, accumulated amortization related to intangible assets totaled $461.0 million and $434.2 million, respectively. Amortization expense for definite-lived intangible assets was $26.8 million for both the three months ended March 31, 2023 and 2022.</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20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No offering costs were incurred during either of the three months ended March 31, 2023 and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represents revenues from contracts with customers disaggregated by type of revenue. See Note 4 – Revenue for additional details regarding revenue types and the Company’s policies regarding revenue recognition.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Currency Forward Contracts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totaled $0.4 million and $0.3 million during the three months ended March 31, 2023 and 2022,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gains/losses on foreign currency forward contracts totaled a $1.2 million loss and a $0.7 million gain during the three months ended March 31, 2023 and 2022, respectively. See Note 10 – Fair Value of Financial Instruments for additional details on the Company’s derivative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Company has evaluated the impact of the IRA and concluded it did not have a material impact to our financial condition, results of operations and cash flows as of and for the three months ended March 31, 2023. The Company will continue to evaluate the impact of the IRA on subsequent periods.</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is currently evaluating whether it will be subject to the provisions of the Two Pillar Plan, and related tax impacts per local country adoption, as it is a consolidating subsidiary of LSEG, and is evaluating its impact.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grants made during the post-IPO period, the fair value of the equity instruments is determined based on the price of the Class A common stock on the grant date.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84"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financial instruments for which all significant inputs are observable, either directly or indirectly;</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Financial Accounting Standards Board (“FASB”) issued Accounting Standards Update (“ASU”)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820): Fair Value Measurement of Equity Securities Subject to Contractual Sale Restrictions </w:t>
      </w:r>
      <w:r>
        <w:rPr>
          <w:rFonts w:ascii="Times New Roman" w:cs="Times New Roman" w:eastAsia="Times New Roman" w:hAnsi="Times New Roman"/>
          <w:sz w:val="18"/>
          <w:szCs w:val="18"/>
          <w:color w:val="auto"/>
        </w:rPr>
        <w:t>(“ASU 2022-03”), which clarifies that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March 31, 2023, the Company has not yet adopted ASU 2022-03 and does not expect that the adoption of this ASU will have a material impact on the Company’s consolidated financial statements.</w:t>
      </w:r>
    </w:p>
    <w:p>
      <w:pPr>
        <w:spacing w:after="0" w:line="1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March 31, 2023 and December 31, 2022, cash in the amount of $1.0 million has been segregated in the PAB reserve account, exceeding the requirements pursuant to SEC Rule 15c3-3.</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5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annual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or each historical data set until the end of the contract term.</w:t>
      </w:r>
    </w:p>
    <w:p>
      <w:pPr>
        <w:spacing w:after="0" w:line="12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for the performance obligations is determined by using a market assessment analysis. Inputs in this analysis include a consultant study which determined the overall value of the Company’s market data and pricing information for historical data sets provided by other companies.</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The breakdown of revenues between fixed and variable revenues for the three months ended March 31, 2023 and 2022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2"/>
        </w:trPr>
        <w:tc>
          <w:tcPr>
            <w:tcW w:w="4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80" w:type="dxa"/>
            <w:vAlign w:val="bottom"/>
          </w:tcPr>
          <w:p>
            <w:pPr>
              <w:spacing w:after="0"/>
              <w:rPr>
                <w:sz w:val="17"/>
                <w:szCs w:val="17"/>
                <w:color w:val="auto"/>
              </w:rPr>
            </w:pPr>
          </w:p>
        </w:tc>
      </w:tr>
      <w:tr>
        <w:trPr>
          <w:trHeight w:val="23"/>
        </w:trPr>
        <w:tc>
          <w:tcPr>
            <w:tcW w:w="4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4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30"/>
        </w:trPr>
        <w:tc>
          <w:tcPr>
            <w:tcW w:w="4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8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460" w:type="dxa"/>
            <w:vAlign w:val="bottom"/>
          </w:tcPr>
          <w:p>
            <w:pPr>
              <w:spacing w:after="0"/>
              <w:rPr>
                <w:sz w:val="19"/>
                <w:szCs w:val="19"/>
                <w:color w:val="auto"/>
              </w:rPr>
            </w:pP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402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1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230,181</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36,417</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213,736</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38,069</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w:t>
            </w: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Refinitiv market data fees</w:t>
            </w: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w:t>
            </w:r>
          </w:p>
        </w:tc>
      </w:tr>
      <w:tr>
        <w:trPr>
          <w:trHeight w:val="2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214,462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97,024</w:t>
            </w:r>
          </w:p>
        </w:tc>
      </w:tr>
      <w:tr>
        <w:trPr>
          <w:trHeight w:val="20"/>
        </w:trPr>
        <w:tc>
          <w:tcPr>
            <w:tcW w:w="4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8"/>
        </w:trPr>
        <w:tc>
          <w:tcPr>
            <w:tcW w:w="4020" w:type="dxa"/>
            <w:vAlign w:val="bottom"/>
          </w:tcPr>
          <w:p>
            <w:pPr>
              <w:spacing w:after="0"/>
              <w:rPr>
                <w:sz w:val="24"/>
                <w:szCs w:val="24"/>
                <w:color w:val="auto"/>
              </w:rPr>
            </w:pPr>
          </w:p>
        </w:tc>
        <w:tc>
          <w:tcPr>
            <w:tcW w:w="1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0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7"/>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38,091</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(30,360)</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recognized $13.5 million in total revenue that was deferred as of December 31, 2022. During the three months ended March 31, 2022, the Company recognized $14.1 million in total revenue that was deferred as of December 31, 2021.</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Continuing LLC Owners redeem or exchange their LLC Interests for shares of Class A common stock or Class B common stock, as applicable, or the Corporation purchases LLC Interests from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4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2023 and 2022 was approximately 24.5% and 12.3%, respectively. The effective tax rate for the three months ended March 31, 2023 differed from the U.S. federal statutory rate of 21.0% primarily due to the disallowance of compensation expense tax deductions and state, local and foreign taxes, partially offset by the effect of non-controlling interests. The effective tax rate for the three months ended March 31, 2022 differed from the U.S. federal statutory rate of 21.0% primarily due to the tax impact of the exercise of equity compensation, return-to-provision adjustments and the effect of non-controlling interests, partially offset by state, local and foreign taxes.</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the tax basis of the assets of TWM LLC when LLC Interests are redeemed or exchanged by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on the condensed consolidated statement of financial condition.</w:t>
      </w:r>
    </w:p>
    <w:p>
      <w:pPr>
        <w:spacing w:after="0" w:line="1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As of March 31, 2023 and December 31, 2022, the tax liability related to the Refinitiv Contribution was $3.0 million and $2.7 million, respectively, included within accounts payable, accrued expenses and other liabilities on the condensed consolidated statements of financial condition. The Company is indemnified by Refinitiv for these tax liabilities that were assumed by the Company as a result of the Refinitiv Contribution. As of March 31, 2023 and December 31, 2022, $3.0 million and $2.7 million, respectively, is included in receivable and due from affiliates on the condensed consolidated statements of financial condition related to this related party indemnification.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March 31, 2023 and December 31, 2022, the tax receivable agreement liability on the condensed consolidated statements of financial condition totaled $420.1 million and $425.7 million, respectively. During each of the three months ended March 31, 2023 and 2022, no tax receivable agreement liability adjustment was recognized in the condensed consolidated statements of income.</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900" w:type="dxa"/>
            <w:vAlign w:val="bottom"/>
            <w:gridSpan w:val="3"/>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208,361,310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204,281,271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26,335,148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29,975,358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234,696,458</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234,256,629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 Inc.’s equity due to changes in the Corporation’s ownership interest in TWM LLC: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 as a result of ownership changes in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TWM LLC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from net income attributable to Tradeweb Markets Inc. and transfers (to) from non-controlling interests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2022 and there have been no changes to those rights and privileges during the three months ended March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5"/>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0"/>
        </w:trPr>
        <w:tc>
          <w:tcPr>
            <w:tcW w:w="416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110,746,606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23,092,704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234,023,679</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986,090</w:t>
            </w: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(313,311)</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234,696,458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5"/>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
        </w:trPr>
        <w:tc>
          <w:tcPr>
            <w:tcW w:w="41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0"/>
        </w:trPr>
        <w:tc>
          <w:tcPr>
            <w:tcW w:w="416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106,286,821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28,873,139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233,747,977</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552,606</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(552,606)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1,068,080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1,068,080</w:t>
            </w: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(559,428)</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(559,428)</w:t>
            </w: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107,348,079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28,320,533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234,256,629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stock options, restricted stock units (“RSUs”) and dividend equivalent rights. The awards may have performance-based and/or time-based vesting conditions. RSUs and performance-based restricted stock units each represent promises to issue actual shares of Class A common stock at the end of a vesting period. Stock options have a maximum contractual term of 10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16, 2022, the Company announced that Mr. Olesky would retire as Chief Executive Officer (“CEO”) of the Company, effective December 31, 2022, resulting in an acceleration of the total unamortized stock-based compensation associated with equity awards granted to him. The unamortized expense was accelerated over a revised estimated service period that ended on August 11, 2022, representing Mr. Olesky’s required six month notice period under the Company’s 2019 Omnibus Equity Incentive Plan. In addition, in December 2022, $5.5 million in stock-based compensation awards, relating to 2022 performance, were granted to Mr. Olesky and immediately recognized into expense upon grant.</w:t>
      </w:r>
    </w:p>
    <w:p>
      <w:pPr>
        <w:spacing w:after="0" w:line="1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total of $15.0 million in accelerated stock-based compensation expenses (“CEO Retirement Accelerated Stock-Based Compensation Expense”) and related payroll that would not have been recognized if Mr. Olesky had not announced his retirement, including $1.7 million recognized during the three months ended March 31, 2022.</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performance-based restricted stock units previously awarded pursuant to the 2019 Omnibus Equity Incentive Plan, which vest based on the financial performance of the Company (“PRSUs”), on March 15, 2023, the Company granted to certain executives, an aggregate of 251,113 performance-based restricted stock units that vest based on market conditions (“PSUs”). PSUs are promises to issue actual shares of Class A common stock which cliff vest on January 1 of the third calendar year from the calendar year of the date of grant. The number of shares a participant will receive upon vesting is determined by a performance modifier, which is adjusted as a result of the Company’s total shareholder return over a three-year performance period. The performance modifier can vary between 0% (minimum) and 250% (maximum) of the target (100%) award amount. The PSUs granted on March 15, 2023 had a grant date fair value of $98.33 per share, or $24.7 million in total, which will be expensed on a straight-line basis through December 31, 2025, the end of the three-year performance period. The grant date fair value of the March 2023 PSUs was estimated using the Monte Carlo simulation model and the significant valuation assumptions used in the valuation were a maturity of 2.8 years annualized volatility of 28.81% and a risk-free interest rate of 3.77%.</w:t>
      </w:r>
    </w:p>
    <w:p>
      <w:pPr>
        <w:spacing w:after="0" w:line="1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2023, the Company also granted 554,917 RSUs and 326,050 PRSUs at a weighted-average grant-date fair value of $69.52 and $69.56, respectively. RSU awards granted to employees will generally vest one-third each year over a three-year period, and RSU awards granted to non-employee directors will vest after one year.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 for awards granted during 2022 and prior years. PRSUs granted during 2023 have a 250% maximum performance modifier.</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total stock-based compensation expense, including the CEO Retirement Accelerated Stock-Based Compensation Expense, is presented below:</w:t>
      </w:r>
    </w:p>
    <w:p>
      <w:pPr>
        <w:spacing w:after="0" w:line="15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62"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440" w:val="left"/>
          <w:tab w:leader="none" w:pos="9220" w:val="left"/>
          <w:tab w:leader="none" w:pos="9880" w:val="left"/>
          <w:tab w:leader="none" w:pos="10660" w:val="left"/>
        </w:tabs>
        <w:rPr>
          <w:sz w:val="20"/>
          <w:szCs w:val="20"/>
          <w:color w:val="auto"/>
        </w:rPr>
      </w:pPr>
      <w:r>
        <w:rPr>
          <w:rFonts w:ascii="Times New Roman" w:cs="Times New Roman" w:eastAsia="Times New Roman" w:hAnsi="Times New Roman"/>
          <w:sz w:val="18"/>
          <w:szCs w:val="18"/>
          <w:color w:val="auto"/>
        </w:rPr>
        <w:t>Total stock-based 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11,610</w:t>
        <w:tab/>
        <w:t>$</w:t>
      </w:r>
      <w:r>
        <w:rPr>
          <w:sz w:val="20"/>
          <w:szCs w:val="20"/>
          <w:color w:val="auto"/>
        </w:rPr>
        <w:tab/>
      </w:r>
      <w:r>
        <w:rPr>
          <w:rFonts w:ascii="Times New Roman" w:cs="Times New Roman" w:eastAsia="Times New Roman" w:hAnsi="Times New Roman"/>
          <w:sz w:val="17"/>
          <w:szCs w:val="17"/>
          <w:color w:val="auto"/>
        </w:rPr>
        <w:t>13,712</w:t>
      </w:r>
    </w:p>
    <w:p>
      <w:pPr>
        <w:spacing w:after="0" w:line="3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above excludes $0.3 million of stock-based compensation expense capitalized to software development costs during the three months ended March 31,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00"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On December 5, 2022, the Company announced that its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three months ended March 31, 2023, the Company acquired a total of 313,311 shares of Class A common stock, at an average price of $72.47, for purchases totaling $22.7 million. During the three months ended March 31, 2022, the Company acquired a total of 559,428 shares of Class A common stock, at an average price of $84.59, for purchases totaling $47.3 million.</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March 31, 2023, a total of $252.3 million remained available for repurchase pursuant to the 2022 Share Repurchase Program.</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shares repurchased pursuant to the 2021 and 2022 Share Repurchase Programs, the excess of the repurchase price paid over the par value of the Class A common stock is be recorded as a reduction to retained earnings.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withheld 574,824 and 985,959 shares, respectively, of common stock from employee stock option, PRSU and RSU awards, at an average price per share of $69.34 and $97.13, respectively, and an aggregate value of $39.9 million and $95.8 million, respectively, based on the price of the Class A common stock on the date the relevant withholding occurred.</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 following balances with such affiliates were included in the condensed consolidated statements of financial condition in the following line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4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3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886"/>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balances with such affiliates were included in the condensed consolidated statements of income in the following line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4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Refinitiv market data fees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w:t>
            </w:r>
          </w:p>
        </w:tc>
      </w:tr>
      <w:tr>
        <w:trPr>
          <w:trHeight w:val="27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fees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30"/>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9"/>
        </w:trPr>
        <w:tc>
          <w:tcPr>
            <w:tcW w:w="8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58" w:lineRule="exact"/>
        <w:rPr>
          <w:sz w:val="20"/>
          <w:szCs w:val="20"/>
          <w:color w:val="auto"/>
        </w:rPr>
      </w:pPr>
    </w:p>
    <w:p>
      <w:pPr>
        <w:ind w:left="340" w:right="180" w:hanging="332"/>
        <w:spacing w:after="0" w:line="27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Refinitiv to provide the Company with certain real estate, payroll, benefits administration and other administrative services.</w:t>
      </w:r>
    </w:p>
    <w:p>
      <w:pPr>
        <w:spacing w:after="0" w:line="1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measured at fair value on the condensed consolidated statements of financial condition as of March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have been categorized based upon the fair value hierarchy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0"/>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3"/>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March 31, 2023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1,113,709</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1,113,709</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1,113,709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currency forward contracts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63"/>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1,106,916</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1,106,916</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1,106,916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 – Foreign currency forward contracts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48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are classified within level 1 of the fair value hierarchy because they are valued using quoted market prices in active markets.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12 months. As of March 31, 2023 and December 31, 2022, the counterparty on each of the foreign currency forward contracts was an affiliate of Refinitiv and therefore the corresponding liabilities on such contracts were included in payable and due to affiliates on the accompanying condensed consolidated statements of financial condition.</w:t>
      </w:r>
    </w:p>
    <w:p>
      <w:pPr>
        <w:spacing w:after="0" w:line="14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currency forward contracts not designated as hedges for accounting purposes: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179,156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162,845</w:t>
            </w: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realized and unrealized gains (losses) on foreign currency forward contracts recorded within general and administrative expenses in the condensed consolidated statements of income are as follows:</w:t>
      </w:r>
    </w:p>
    <w:p>
      <w:pPr>
        <w:spacing w:after="0" w:line="15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8440" w:val="left"/>
          <w:tab w:leader="none" w:pos="9220" w:val="left"/>
          <w:tab w:leader="none" w:pos="10880" w:val="left"/>
        </w:tabs>
        <w:rPr>
          <w:sz w:val="20"/>
          <w:szCs w:val="20"/>
          <w:color w:val="auto"/>
        </w:rPr>
      </w:pPr>
      <w:r>
        <w:rPr>
          <w:rFonts w:ascii="Times New Roman" w:cs="Times New Roman" w:eastAsia="Times New Roman" w:hAnsi="Times New Roman"/>
          <w:sz w:val="18"/>
          <w:szCs w:val="18"/>
          <w:color w:val="auto"/>
        </w:rPr>
        <w:t>Foreign currency forward contracts not designated in accounting hedge relationship</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(1,160)  $</w:t>
      </w:r>
      <w:r>
        <w:rPr>
          <w:sz w:val="20"/>
          <w:szCs w:val="20"/>
          <w:color w:val="auto"/>
        </w:rPr>
        <w:tab/>
      </w:r>
      <w:r>
        <w:rPr>
          <w:rFonts w:ascii="Times New Roman" w:cs="Times New Roman" w:eastAsia="Times New Roman" w:hAnsi="Times New Roman"/>
          <w:sz w:val="17"/>
          <w:szCs w:val="17"/>
          <w:color w:val="auto"/>
        </w:rPr>
        <w:t>682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the condensed consolidated statements of financial condition as of March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have been categorized based upon the fair value hierarchy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March 31, 2023</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119,966</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171,244</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151,313</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Without Readily Determinable Fair Values</w:t>
      </w:r>
    </w:p>
    <w:p>
      <w:pPr>
        <w:spacing w:after="0" w:line="20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are equity investments without readily determinable fair values of $20.0 million as of both March 31, 2023 and December 31,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money market instruments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2023 and December 31, 2022, the Company maintained an allowance for credit losses with regard to these receivables of $0.2 million and $0.1 million, respectively. Credit loss expense was $26,000 for the three months ended March 31, 2023. For the three months ended March 31, 2022, recoveries resulted in a reversal of credit loss expense of $74,000.</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2022. The parties have requested oral argument on the appeal, which request is currently pending, and no date for oral argument has yet been set. The Company intends to vigorously defend the District Court’s decision on appeal and assert its meritorious defenses to the allegations.</w:t>
      </w:r>
    </w:p>
    <w:p>
      <w:pPr>
        <w:spacing w:after="0" w:line="14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Additionally, the Company was dismissed from a class action relating to an interest rate swaps matter in 2017, but that matter continues against the remaining defendant financial institutions.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April 8, 2019, the Company entered into a five year, $500.0 million senior secured revolving credit facility (“Credit Facility”) with a syndicate of banks. The Credit Facility was subsequently amended on November 7, 2019 and March 31, 2023. The Credit Facility provides additional borrowing capacity to be used to fund ongoing working capital needs, letters of credit and for general corporate purposes, including potential future acquisitions and expansions.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0.75%, (b) Term SOFR plus 1.75% plus a credit adjustment spread of 0.10%, subject to a 0.00% floor, (c) SONIA plus 1.75%, subject to a 0.00% floor or (d) EURIBOR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there were $0.5 million in letters of credit issued under the Revolving Credit Facility and no borrowings outstanding.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ten years. The following table presents the future minimum lease payments and the maturity of lease liabilities as of March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27,047</w:t>
            </w:r>
          </w:p>
        </w:tc>
      </w:tr>
      <w:tr>
        <w:trPr>
          <w:trHeight w:val="24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20" w:type="dxa"/>
            <w:vAlign w:val="bottom"/>
          </w:tcPr>
          <w:p>
            <w:pPr>
              <w:spacing w:after="0"/>
              <w:rPr>
                <w:sz w:val="17"/>
                <w:szCs w:val="17"/>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8"/>
              </w:rPr>
              <w:t>Numerator:</w:t>
            </w:r>
          </w:p>
        </w:tc>
        <w:tc>
          <w:tcPr>
            <w:tcW w:w="75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Distributed and undistributed earnings allocated to unvested RSUs and unsettled vested PRSUs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outstanding shares of Class A and Class B common stock - 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82,943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4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Basic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208,105,437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204,061,347</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770,765</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2,322,027</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342,963</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shares of Class A and Class B common stock outstanding - Diluted</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210,143,734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207,497,102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280" w:hanging="332"/>
        <w:spacing w:after="0" w:line="302"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2023 and 2022, there was a total of 291,772 and 53,756, respectively, weighted average unvested RSUs and unsettled vested PRSUs that were considered a participating security for purposes of calculating earnings per share in accordance with the two-class method.</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RSUs and PSUs are evaluated under the treasury stock method.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PSUs and weighted-average LLC Interests that were anti-dilutive for the periods indicated. As a result, these shares, which were outstanding, were excluded from the computation of diluted earnings per share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820" w:type="dxa"/>
            <w:vAlign w:val="bottom"/>
            <w:gridSpan w:val="3"/>
          </w:tcPr>
          <w:p>
            <w:pPr>
              <w:jc w:val="center"/>
              <w:ind w:left="8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69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61,260</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26,340,754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30,296,879</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TWL, DW and TWD are subject to the Uniform Net Capital Rule 15c3-1 under the Exchange Act. TEL and TESL are subject to certain financial resource requirements with the FCA in the UK, TWJ is subject to certain financial resource requirements with the FCA in Japan and TWEU and TESBV are subject to certain finance resource requirements with the AFM in the Netherlands.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and December 31, 2022, the regulatory capital requirements and regulatory capital for TWL, DW, TWD, TEL, TWJ, TWEU, TESL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TESBV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TWL</w:t>
            </w:r>
          </w:p>
        </w:tc>
        <w:tc>
          <w:tcPr>
            <w:tcW w:w="200" w:type="dxa"/>
            <w:vAlign w:val="bottom"/>
          </w:tcPr>
          <w:p>
            <w:pPr>
              <w:spacing w:after="0"/>
              <w:rPr>
                <w:sz w:val="17"/>
                <w:szCs w:val="17"/>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DW</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TWD</w:t>
            </w:r>
          </w:p>
        </w:tc>
        <w:tc>
          <w:tcPr>
            <w:tcW w:w="2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TEL</w:t>
            </w:r>
          </w:p>
        </w:tc>
        <w:tc>
          <w:tcPr>
            <w:tcW w:w="22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TWJ</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TWEU</w:t>
            </w:r>
          </w:p>
        </w:tc>
        <w:tc>
          <w:tcPr>
            <w:tcW w:w="22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TESL</w:t>
            </w:r>
          </w:p>
        </w:tc>
        <w:tc>
          <w:tcPr>
            <w:tcW w:w="180" w:type="dxa"/>
            <w:vAlign w:val="bottom"/>
          </w:tcPr>
          <w:p>
            <w:pPr>
              <w:spacing w:after="0"/>
              <w:rPr>
                <w:sz w:val="17"/>
                <w:szCs w:val="17"/>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TESBV</w:t>
            </w:r>
          </w:p>
        </w:tc>
      </w:tr>
      <w:tr>
        <w:trPr>
          <w:trHeight w:val="23"/>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Capital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30"/>
        </w:trPr>
        <w:tc>
          <w:tcPr>
            <w:tcW w:w="2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Regulatory Capital Requirement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48"/>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Regulatory Capital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TWL</w:t>
            </w:r>
          </w:p>
        </w:tc>
        <w:tc>
          <w:tcPr>
            <w:tcW w:w="200" w:type="dxa"/>
            <w:vAlign w:val="bottom"/>
          </w:tcPr>
          <w:p>
            <w:pPr>
              <w:spacing w:after="0"/>
              <w:rPr>
                <w:sz w:val="24"/>
                <w:szCs w:val="24"/>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DW</w:t>
            </w:r>
          </w:p>
        </w:tc>
        <w:tc>
          <w:tcPr>
            <w:tcW w:w="2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TWD</w:t>
            </w:r>
          </w:p>
        </w:tc>
        <w:tc>
          <w:tcPr>
            <w:tcW w:w="24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TEL</w:t>
            </w:r>
          </w:p>
        </w:tc>
        <w:tc>
          <w:tcPr>
            <w:tcW w:w="22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TWJ</w:t>
            </w:r>
          </w:p>
        </w:tc>
        <w:tc>
          <w:tcPr>
            <w:tcW w:w="18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TWEU</w:t>
            </w:r>
          </w:p>
        </w:tc>
        <w:tc>
          <w:tcPr>
            <w:tcW w:w="22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TESL</w:t>
            </w:r>
          </w:p>
        </w:tc>
        <w:tc>
          <w:tcPr>
            <w:tcW w:w="180" w:type="dxa"/>
            <w:vAlign w:val="bottom"/>
          </w:tcPr>
          <w:p>
            <w:pPr>
              <w:spacing w:after="0"/>
              <w:rPr>
                <w:sz w:val="24"/>
                <w:szCs w:val="2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TESBV</w:t>
            </w:r>
          </w:p>
        </w:tc>
      </w:tr>
      <w:tr>
        <w:trPr>
          <w:trHeight w:val="23"/>
        </w:trPr>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
        </w:trPr>
        <w:tc>
          <w:tcPr>
            <w:tcW w:w="2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Capital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2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Regulatory Capital Requirement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48"/>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Regulatory Capital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March 31, 2023 and December 31, 2022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380" w:type="dxa"/>
            <w:vAlign w:val="bottom"/>
          </w:tcPr>
          <w:p>
            <w:pPr>
              <w:spacing w:after="0"/>
              <w:rPr>
                <w:sz w:val="16"/>
                <w:szCs w:val="16"/>
                <w:color w:val="auto"/>
              </w:rPr>
            </w:pPr>
          </w:p>
        </w:tc>
        <w:tc>
          <w:tcPr>
            <w:tcW w:w="23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DW SEF</w:t>
            </w:r>
          </w:p>
        </w:tc>
      </w:tr>
      <w:tr>
        <w:trPr>
          <w:trHeight w:val="37"/>
        </w:trPr>
        <w:tc>
          <w:tcPr>
            <w:tcW w:w="5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3"/>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Resources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Required Financial Resources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Financial Resources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 Financial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Required Liquid Financial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Liquid Financial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by client sector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197,210</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w:t>
            </w: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311,486</w:t>
            </w: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206,683</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199,884</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111,602</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9"/>
        </w:trPr>
        <w:tc>
          <w:tcPr>
            <w:tcW w:w="8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121,193</w:t>
            </w:r>
          </w:p>
        </w:tc>
      </w:tr>
      <w:tr>
        <w:trPr>
          <w:trHeight w:val="22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311,486</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4,011,330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4,044,230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50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4,024,243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4,057,256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27, 2023, the board of directors of Tradeweb Markets Inc. declared a cash dividend of $0.09 per share of Class A common stock and Class B common stock for the second quarter of 2023. This dividend will be payable on June 15, 2023 to stockholders of record as of June 1,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27, 2023, Tradeweb Markets Inc., as the sole manager, approved a distribution by TWM LLC to its equityholders, including Tradeweb Markets Inc., in an aggregate amount of $29.3 million, as adjusted by required state and local tax withholdings that will be determined prior to the record date of June 1, 2023, payable on June 13, 2023.</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3, 2023, the stockholder that owned 3,251,177 LLC Interests and 3,251,177 shares of Class C common stock, redeemed its LLC Interests for 3,251,177 shares of Class A common stock and the shares of Class C common stock previously held by the stockholder were cancelled.</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2022 Form 10-K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65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Transition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16, 2022, we announced that Mr. Lee Olesky would retire as Chief Executive Officer (“CEO”) of the Company, effective December 31, 2022. On February 11, 2022, the board of directors elected our then-current President, Mr. Billy Hult, to succeed Mr. Olesky as CEO of the Company, effective January 1, 2023. Following his retirement as CEO, Mr. Olesky has continued in his role as Chairman of the board of directors. During the year ended December 31, 2022, the Company recorded a total of $15.0 million in accelerated stock-based compensation expenses (“CEO Retirement Accelerated Stock-Based Compensation Expense”) and related payroll that would not have been recognized if Mr. Olesky had not announced his retirement, including $1.7 million recognized during the three months ended March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President Transition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13, 2022, we announced that the board of directors appointed Mr. Thomas Pluta as our next President effective as of January 1, 2023. Mr. Pluta succeeded Mr. Hult in this role, when, as previously announced and discussed above, Mr. Hult assumed the position of CEO of the Company on January 1, 2023. Mr. Pluta joined the Company as President-elect on October 3, 2022. Upon announcement, Mr. Pluta was a standing non-independent member of our board of directors and has remained on the board in his new role.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2023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6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Since the onset of the COVID-19 pandemic, we have been focused on keeping our employees safe, helping our staff and clients stay connected and ensuring our platforms operate efficiently. Throughout the pandemic, we implemented a series of measures to protect the health and safety of our employees. During 2022, we, like many companies, began to transition our workforce back to the office. Our office re-entry policy set out guidance to protect employee safety and implement, at a minimum, the local regulations including, where applicable, masking mandates, vaccination status for in-person work, quarantine time, testing requirements, appropriate distancing measures and capacity limitations. Our Workplace Safety Committee is governed by the heads of Risk, Human Resources, Facilities, Operations, Technology, and Marketing and meets in frequencies determined by the necessity and severity of the current conditions. We will continue to monitor the impact of COVID-19, including any related variants, and will adjust our plans accordingly.</w:t>
      </w:r>
    </w:p>
    <w:p>
      <w:pPr>
        <w:spacing w:after="0" w:line="1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 or on a hybrid basis.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focused on minimizing any future disruptive impact of COVID-19 on our business. Although we have implemented risk management and contingency plans and taken preventive measures and other precautions, our efforts to mitigate the effects of any disruptions may prove to be inadequate. Further, as the COVID-19 situation is unprecedented and continuously evolving, COVID-19, including any related variants, may also affect our operating and financial results in a manner that is not presently known to us or in a manner that we currently do not consider to present significant risks to our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26, 2023, we announced we are in advanced discussions to acquire Yieldbroker, a leading Australian government bond and interest rate derivatives trading platform covering the institutional, wholesale, and primary markets. We anticipate that the acquisition would be an all-cash transaction with a purchase price of AUD 125 million. This acquisition would provide Yieldbroker’s domestic client network with access to Tradeweb’s global multi-asset platform, deep liquidity and advanced technology, while our customers worldwide would benefit from increased liquidity, pre-trade transparency, and coverage of the Australian and New Zealand debt capital markets. We can offer no assurance that a definitive agreement will be entered into, or if entered into that a transaction will be consummated. The potential deal remains subject to Yieldbroker stockholder approval, final definitive documentation, and would be subject to customary closing conditions and regulatory reviews.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Company has evaluated the impact of the IRA and concluded it did not have a material impact to our financial condition, results of operations and cash flows as of and for the three months ended March 31, 2023. The Company will continue to evaluate the impact of the IRA on subsequent periods. The adoption of the IRA will not have an impact to our non-GAAP adjusted effective tax rate used for purposes of calculating our non-GAAP measure of Adjusted Net Income.</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is currently evaluating whether it will be subject to the provisions of the Two Pillar Plan, and related tax impacts per local country adoption, as it is a consolidating subsidiary of LSEG, and is evaluating its impact.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56"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Refinitiv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200"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200" w:lineRule="exact"/>
        <w:rPr>
          <w:sz w:val="20"/>
          <w:szCs w:val="20"/>
          <w:color w:val="auto"/>
        </w:rPr>
      </w:pPr>
    </w:p>
    <w:p>
      <w:pPr>
        <w:ind w:right="780"/>
        <w:spacing w:after="0" w:line="453" w:lineRule="auto"/>
        <w:rPr>
          <w:sz w:val="20"/>
          <w:szCs w:val="20"/>
          <w:color w:val="auto"/>
        </w:rPr>
      </w:pPr>
      <w:r>
        <w:rPr>
          <w:rFonts w:ascii="Times New Roman" w:cs="Times New Roman" w:eastAsia="Times New Roman" w:hAnsi="Times New Roman"/>
          <w:sz w:val="18"/>
          <w:szCs w:val="18"/>
          <w:color w:val="auto"/>
        </w:rPr>
        <w:t xml:space="preserve">Occupancy expense consists of operating lease rent and related costs for office space and data centers leased in North America, Europe and Asia. </w:t>
      </w:r>
      <w:r>
        <w:rPr>
          <w:rFonts w:ascii="Times New Roman" w:cs="Times New Roman" w:eastAsia="Times New Roman" w:hAnsi="Times New Roman"/>
          <w:sz w:val="18"/>
          <w:szCs w:val="18"/>
          <w:b w:val="1"/>
          <w:bCs w:val="1"/>
          <w:i w:val="1"/>
          <w:iCs w:val="1"/>
          <w:color w:val="auto"/>
        </w:rPr>
        <w:t>Tax Receivable Agreement Liability Adjustment</w:t>
      </w:r>
    </w:p>
    <w:p>
      <w:pPr>
        <w:spacing w:after="0" w:line="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each of the three months ended March 31, 2023 and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(Expense)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and any other non-operating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March 31, 2023, we owned 88.8% of TWM LLC and Continuing LLC Owners owned the remaining 11.2% of TWM LLC.</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2023 and Three Months Ended March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March 31,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80" w:type="dxa"/>
            <w:vAlign w:val="bottom"/>
          </w:tcPr>
          <w:p>
            <w:pPr>
              <w:spacing w:after="0"/>
              <w:rPr>
                <w:sz w:val="23"/>
                <w:szCs w:val="23"/>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March 31, 2023 and 2022,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440" w:type="dxa"/>
            <w:vAlign w:val="bottom"/>
          </w:tcPr>
          <w:p>
            <w:pPr>
              <w:spacing w:after="0"/>
              <w:rPr>
                <w:sz w:val="13"/>
                <w:szCs w:val="13"/>
                <w:color w:val="auto"/>
              </w:rPr>
            </w:pPr>
          </w:p>
        </w:tc>
        <w:tc>
          <w:tcPr>
            <w:tcW w:w="8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266,598</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251,805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57,013</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311,486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growth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both the three months ended March 31, 2023 and 2022 include $15.6 million of Refinitiv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8"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general, revenues for the three months ended March 31, 2023 were impacted by a challenging macroeconomic backdrop including interest rate hikes, dramatic movements in the yield curve, the highest level of rate volatility since the global financial crisis and the regional bank liquidity crisis, resulting in market turmoil that impacted trading habits, including some migration to phone orders during moments of high stress in March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primary driver of the $17.8 million increase in revenue was related to a $14.8 million increase in transaction fees and commissions to $266.6 million for the three months ended March 31, 2023 from $251.8 million for the three months ended March 31, 2022, primarily due to higher revenues for U.S. government bonds, U.S. corporate bonds and certificates of deposit.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March 31, 2023 and 2022,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March 31, 2023 and 2022,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March 31, 2023 and 2022, and the resulting percentage changes,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54,558,452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46,592,263</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16.4 %</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22,568,694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24,060,508</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31,989,758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22,531,755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17,965,246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13,143,966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14,024,511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9,387,789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2,021,369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2,069,127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465,829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1,603,297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1,218,547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1,334,373</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795,184</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539,189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27,534,565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23,107,647</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1,364,737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85,332,933</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1,174,801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73,103,409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040" w:type="dxa"/>
            <w:vAlign w:val="bottom"/>
            <w:vMerge w:val="continue"/>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1,141,958</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71,308,422</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1,024,311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63,715,620</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and (2) U.S. High Grade and High Yield electronically processed (“EP”) activity.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16.2 %</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11.5 %</w:t>
      </w:r>
    </w:p>
    <w:p>
      <w:pPr>
        <w:spacing w:after="0" w:line="807" w:lineRule="exact"/>
        <w:rPr>
          <w:sz w:val="20"/>
          <w:szCs w:val="20"/>
          <w:color w:val="auto"/>
        </w:rPr>
      </w:pPr>
    </w:p>
    <w:p>
      <w:pPr>
        <w:sectPr>
          <w:pgSz w:w="11900" w:h="16838" w:orient="portrait"/>
          <w:cols w:equalWidth="0" w:num="2">
            <w:col w:w="10520" w:space="160"/>
            <w:col w:w="560"/>
          </w:cols>
          <w:pgMar w:left="320" w:top="121" w:right="339" w:bottom="1440" w:gutter="0" w:footer="0" w:header="0"/>
          <w:type w:val="continuous"/>
        </w:sect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platforms by asset class for the three months ended March 31, 2023 and 2022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rPr>
              <w:t>2.24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rPr>
              <w:t>(0.22)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and (2) U.S. High Grade and High Yield electronically processed (“EP”) activity.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$10.2 million or 6.3% to $170.5 million for the three months ended March 31, 2023 compared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$160.3 million for the three months ended March 31, 2022 primarily due to higher variable transaction fees and commissions earned from U.S. government bonds and rates derivatives products.</w:t>
      </w:r>
    </w:p>
    <w:p>
      <w:pPr>
        <w:spacing w:after="0" w:line="1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Average variable fees per million for rates decreased primarily due to a decrease in average variable fees per million for rates derivatives driven primarily by shifts in the mix and duration of derivative products traded. This decrease was partially offset by an increase in average variable fees per million for rates cash products primarily due to shifts in the mix of trading towards U.S. treasuries and growth in the retail client sector, which both have a higher variable fee capture compared to overall rates.</w:t>
      </w:r>
    </w:p>
    <w:p>
      <w:pPr>
        <w:spacing w:after="0" w:line="15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$2.7 million or 3.1% to $89.0 million for the three months ended March 31, 2023 compared to $86.3 million for the three months ended March 31, 2022 primarily due to variable transaction fees and commissions on higher trading volumes for U.S. corporate bonds and municipals.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credit increased primarily due to higher growth in municipals, which have a higher variable fee capture compared to overall credit.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decreased by $0.3 million or 1.3% to $26.2 million for the three months ended March 31, 2023 compared to $26.5 million for the three months ended March 31, 2022 primarily due to variable transaction fees and commissions on lower trading volumes for European ETFs, partially offset by increased revenues from U.S. ETFs.</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higher growth in institutional U.S. ETFs, which have a higher variable fee capture compared to overall equities.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$3.3 million or 28.5% to $14.8 million for the three months ended March 31, 2023 compared to $11.5 million for the three months ended March 31, 2022 primarily due to variable transaction fees and commissions on higher revenues for certificates of deposit and repurchase agreements.</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money markets increased primarily due to higher growth of certificates of deposit which have a higher variable fee capture compared to overall money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$1.1 million or 5.0% to $22.4 million for the three months ended March 31, 2023 compared to $21.4 million for the three months ended March 31, 2022. The increase was derived primarily from increased proprietary third party market data revenue.</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$0.9 million or 16.3% to $6.3 million for the three months ended March 31, 2023 compared to $5.4 million for the three months ended March 31, 2022. The increase was driven primarily from an increase in revenue from software development and implementation projects performed on behalf of certain clients.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March 31, 2023 and 2022,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$1.6 million or 0.8% to $198.9 million for the three months ended March 31, 2023 from $197.2 million for the three months ended March 31, 2022. The increase was derived primarily from increased revenues for rates derivatives products.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$3.2 million or 4.3% to $76.1 million for the three months ended March 31, 2023 from $72.9 million for the three months ended March 31, 2022. The increase was derived primarily from higher revenues for mortgages and U.S. government bonds.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$11.9 million or 59.5% to $31.9 million for the three months ended March 31, 2023 from $20.0 million for the three months ended March 31, 2022. The increase was derived primarily from higher revenues for U.S. government bonds, certificates of deposit, municipals and U.S. corporate bonds.</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$1.1 million or 5.0% to $22.4 million for the three months ended March 31, 2023 from $21.4 million for the three months ended March 31, 2022. The increase was derived primarily from increased proprietary third party market data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2022, and the resulting dollar and percentage changes,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$18.4 million or 9.7% to $208.7 million for the three months ended March 31, 2023 from $190.3 million for the three months ended March 31, 2022 primarily due to higher revenues for U.S. government bonds, U.S. corporate bonds, certificates of deposit and municipals.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remained relatively flat with a decrease of $0.6 million or 0.5% to $120.5 million for the three months ended March 31, 2023 from $121.2 million for the three months ended March 31, 2022 as higher revenues for rates derivatives products and European government bonds were more than offset by lower revenues for credit derivatives products, European ETFs and Chinese bonds.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March 31, 2023 and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decreased by $3.5 million or 3.0% to $114.5 million for the three months ended March 31, 2023 from $118.0 million for the three months ended March 31, 2022. The decrease was primarily due to a decrease in incentive compensation expense and related payroll taxes including a $1.7 million decrease in non-cash accelerated stock-based compensation expense and related payroll taxes relating to the CEO Retirement Accelerated Stock-Based Compensation Expense. See “— Trends and Other Factors Impacting Our Performance — CEO Transition” for further details. The decreases in incentive compensation and related payroll taxes more than offset the increase in headcount and related salaries during the period.</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remained relatively flat with an increase of $1.0 million or 2.1% to $45.4 million for the three months ended March 31, 2023 from $44.5 million for the three months ended March 31, 2022.</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$1.8 million or 11.4% to $17.6 million for the three months ended March 31, 2023 from $15.8 million for the three months ended March 31, 2022. The increase was primarily due to increased investment in our data strategy and infrastructure and increased data and clearance fees driven primarily by higher period-over-period trading volumes.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increased by $3.6 million or 35.0% to $13.9 million for the three months ended March 31, 2023 from $10.3 million for the three months ended March 31, 2022. The increase was primarily the result of increased travel and entertainment expenses, as the COVID-19 pandemic contributed to a reduction in expenses during 2022 and a $1.9 million increase in foreign exchange losses during the three months ended March 31, 2023. Realized and unrealized foreign currency losses totaled $1.5 million during the three months ended March 31, 2023 as compared to $0.4 million in gains during three months ended March 31, 2022. The change was primarily driven by changes in fair value of our foreign currency forward contracts used in connection with our foreign currency risk management program.</w:t>
      </w:r>
    </w:p>
    <w:p>
      <w:pPr>
        <w:spacing w:after="0" w:line="16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$3.3 million or 42.2% to $11.2 million for the three months ended March 31, 2023 from $7.9 million for the three months ended March 31, 2022. The increase was primarily due to increased legal costs in connection with regulatory and compliance matters, including periodic information requests, and higher technology consulting expenses.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Occupancy</w:t>
      </w:r>
      <w:r>
        <w:rPr>
          <w:rFonts w:ascii="Times New Roman" w:cs="Times New Roman" w:eastAsia="Times New Roman" w:hAnsi="Times New Roman"/>
          <w:sz w:val="18"/>
          <w:szCs w:val="18"/>
          <w:color w:val="auto"/>
        </w:rPr>
        <w:t>. Expenses related to occupancy costs increased by $0.6 million or 17.9% to $4.1 million for the three months ended March 31, 2023 from $3.5 million for the three months ended March 31, 2022. The increase was primarily due to higher data center rent expense primarily driven by the completion of the NFI Acquisition technology integration during the three months ended March 31, 2023, the relocation of data centers to locations providing enhanced infrastructure and improved performance and an increase in power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(Expense)</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interest income increased by $12.9 million to net interest income of $12.5 million for the three months ended March 31, 2023 from net interest expense of $0.4 million for the three months ended March 31, 2022 primarily due to an increase in interest income earned as a result of an increase in our average invested cash balance and an increase in interest rates period over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income (loss) increased to $0.3 million for the three months ended March 31, 2023 due to recording an increase in a tax indemnification receivable from Refinitiv.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 expense increased by $19.5 million to $33.2 million for the three months ended March 31, 2023 from $13.7 million for the three months ended March 31, 2022. The provision for income taxes includes U.S. federal, state, local and foreign taxes. The effective tax rate for the three months ended March 31, 2023 was approximately 24.5%, compared with 12.3% for the three months ended March 31, 2022. The effective tax rate for the three months ended March 31, 2023 differed from the U.S. federal statutory rate of 21.0% primarily due to the disallowance of compensation expense tax deductions and state, local and foreign taxes, partially offset by the effect of non-controlling interests. The effective tax rate for the three months ended March 31, 2022 differed from the U.S. federal statutory rate of 21.0% primarily due to the tax impact of the exercise of equity compensation, return-to-provision adjustments and the effect of non-controlling interests, partially offset by state, local and foreign taxes.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the three months ended March 31, 2023 and 2022.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2023 and December 31, 2022, we had cash and cash equivalents of approximately $1.2 billion and $1.3 billion, respectively. All cash and cash equivalents were held in accounts with financial institutions or money market funds such that the funds are immediately available or in fixed term deposits with a maximum maturity of three months. See Item 3. “Quantitative And Qualitative Disclosures About Market Risks —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$0.09 per share. As discussed below, our ability to pay these quarterly cash dividends on our Class A common stock and Class B common stock will depend on distributions to us from TWM LLC.</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27, 2023, the board of directors of Tradeweb Markets Inc. declared a cash dividend of $0.09 per share of Class A common stock and Class B common stock for the second quarter of 2023. This dividend will be payable on June 15, 2023 to stockholders of record as of June 1, 2023.</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March 2023, Tradeweb Markets Inc. paid quarterly cash dividends to holders of Class A common stock and Class B common stock in an aggregate amount totaling $18.7 million during the three months ended March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9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April 27, 2023, Tradeweb Markets Inc., as the sole manager, approved a distribution by TWM LLC to its equityholders, including Tradeweb Markets Inc., in an aggregate amount of $29.3 million, as adjusted by required state and local tax withholdings that will be determined prior to the record date of June 1, 2023, payable on June 13, 2023.</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March 2023, TWM LLC made quarterly cash distributions to its equityholders in an aggregate amount of $20.3 million during the three months ended March 31, 2023, including distributions to Tradeweb Markets Inc. of $18.0 million and distributions to non-controlling interests of $2.3 million. The proceeds of the cash distributions were used by Tradeweb Markets Inc. to fund dividend payments, taxes and expenses.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three months ended March 31, 2023, the Company acquired a total of 313,311 shares of Class A common stock, at an average price of $72.47, for purchases totaling $22.7 million pursuant to the 2022 Share Repurchase Program. As of March 31, 2023, a total of $252.3 million remained available for repurchase pursuant to the 2022 Share Repurchase Program.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8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withheld 574,824 shares of common stock from employee stock option, PRSU and RSU awards, at an average price per share of $69.34 and an aggregate value of $39.9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March 31, 2023, total amounts due to the Continuing LLC Owners under the Tax Receivable Agreement were $420.1 million, substantially all due to be paid over 15 years following the purchase of LLC Interests from Continuing LLC Owners or redemption or exchanges by Continuing LLC Owners of LLC Interests. As of March 31, 2023, we expect to make tax receivable agreement liability payments of approximately $25.7 million within the next 12 months and approximately $394.4 million thereafter.</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and December 31, 2022, we had no outstanding indebtedness.</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April 8, 2019, TWM LLC entered into the Revolving Credit Facility with a syndicate of banks. The Revolving Credit Facility was subsequently amended on November 7, 2019 and March 31, 2023. The Revolving Credit Facility provides borrowing capacity to be used to fund our ongoing working capital needs, letters of credit and for general corporate purposes, including potential future acquisitions and expansions.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5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March 31, 2023, there were $0.5 million in letters of credit issued under the Revolving Credit Facility and no borrowings outstanding. As of March 31, 2023, we had availability of $499.5 million.</w:t>
      </w:r>
    </w:p>
    <w:p>
      <w:pPr>
        <w:spacing w:after="0" w:line="121"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w:t>
      </w:r>
    </w:p>
    <w:p>
      <w:pPr>
        <w:spacing w:after="0" w:line="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1.00% and (iii) one month Term SOFR plus 1.00% plus a credit adjustment spread of 0.10%, in each case plus 0.75%, (b) Term SOFR plus 1.75% plus a credit adjustment spread of 0.10%, subject to a 0.00% floor, (c) SONIA plus 1.75%, subject to a 0.00% floor or (d) EURIBOR plus 1.75%, subject to a</w:t>
      </w:r>
    </w:p>
    <w:p>
      <w:pPr>
        <w:jc w:val="both"/>
        <w:spacing w:after="0" w:line="260" w:lineRule="auto"/>
        <w:rPr>
          <w:sz w:val="20"/>
          <w:szCs w:val="20"/>
          <w:color w:val="auto"/>
        </w:rPr>
      </w:pPr>
      <w:r>
        <w:rPr>
          <w:rFonts w:ascii="Times New Roman" w:cs="Times New Roman" w:eastAsia="Times New Roman" w:hAnsi="Times New Roman"/>
          <w:sz w:val="18"/>
          <w:szCs w:val="18"/>
          <w:color w:val="auto"/>
        </w:rPr>
        <w:t>0.00% floor. The credit agreement also requires that we pay a commitment fee of 0.25% for available but unborrowed amounts. We are also required to pay customary letter of credit fees and agency fees.</w:t>
      </w:r>
    </w:p>
    <w:p>
      <w:pPr>
        <w:spacing w:after="0" w:line="1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have the option to voluntarily repay outstanding loans at any time without premium or penalty other than customary “breakage” costs with respect to Term SOFR, SONIA and EURIBOR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will be no scheduled amortization under the Revolving Credit Facility. The principal amount outstanding will be due and payable in full at maturity.</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3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8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were in compliance with all the covenants set forth in the Revolving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20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As of March 31, 2023, our operating lease liabilities totaled $25.8 million, with payments pursuant to these obligations due within the next 12 months and thereafter totaling $11.8 million and $15.3 million, respectively.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We expect total cash paid for capital expenditures and software development costs for fiscal 2023 to be between $56 million and $62 million, compared to expenditures of $60.1 million in fiscal 2022, with the midpoint of our 2023 capital expenditure guidance at slightly lower than fiscal year 2022 due to the acceleration of certain infrastructure enhancements during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U.S. subsidiaries are registered as broker-dealers, SEFs or introducing brokers and are subject to the applicable rules and regulations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CFTC. These rules contain minimum net capital or other financial resource requirements, as defined in the applicable regulations.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may also require a significant part of the registrants’ assets be kept in relatively liquid form. Certain of our foreign subsidiaries are regulated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Conduct Authority in the UK, the Nederlandsche Bank in the Netherlands, the Japanese Financial Services Agency, the Japanese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Association and other foreign regulators, and must maintain financial resources, as defined in the applicable regulations, in excess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requirement. As of March 31, 2023 and December 31, 2022, each of our regulated subsidiaries had maintained sufficient net capital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resources to at least satisfy their minimum requirements, which in aggregate were $70.1 million and $69.1 million, respectively. We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balances in these subsidiaries in excess of our minimum requirements in order to satisfy working capital needs and to ensure that we have enough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 to satisfy margin requirements and credit risk, including the excess capital expectations of our clients. The Fixed Income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(“FICC”) and some of our clearing brokers require us to post collateral on unsettled positions, included within deposits with clearing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in our consolidated statements of financial condition. Collateral amounts are marked to market on a daily basis, requiring us to pay or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amounts as part of the daily funds settlement. Margin call requirements can vary significantly across periods based on daily market changes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represent a significant and unpredictable use of our liquidity.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March 31, 2023 and December 31, 2022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7"/>
        </w:trPr>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1,257,229</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 and due from affiliates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5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1,439,171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affiliates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51,917</w:t>
            </w: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209,419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261,180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1,177,991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Current assets increased to $1.5 billion as of March 31, 2023 from $1.4 billion as of December 31, 2022 primarily due to an increase in accounts receivable as a result of increased revenues partially offset by a decrease in cash and cash equivalents (see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2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$209.4 million as of March 31, 2023 from $261.2 million as of December 31, 2022 primarily due to a decrease in accrued compensation as a result of annual bonus payments which occurred during the three months ended March 31, 2023.</w:t>
      </w:r>
    </w:p>
    <w:p>
      <w:pPr>
        <w:spacing w:after="0" w:line="119" w:lineRule="exact"/>
        <w:rPr>
          <w:sz w:val="20"/>
          <w:szCs w:val="20"/>
          <w:color w:val="auto"/>
        </w:rPr>
      </w:pPr>
    </w:p>
    <w:p>
      <w:pPr>
        <w:ind w:right="1640"/>
        <w:spacing w:after="0" w:line="46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xml:space="preserve">” above for a discussion on how capital requirements can impact our working capital. </w:t>
      </w:r>
      <w:r>
        <w:rPr>
          <w:rFonts w:ascii="Times New Roman" w:cs="Times New Roman" w:eastAsia="Times New Roman" w:hAnsi="Times New Roman"/>
          <w:sz w:val="18"/>
          <w:szCs w:val="18"/>
          <w:b w:val="1"/>
          <w:bCs w:val="1"/>
          <w:i w:val="1"/>
          <w:iCs w:val="1"/>
          <w:color w:val="auto"/>
        </w:rPr>
        <w:t>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three months ended March 31, 2023 and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(168,081)</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was $70.8 million, an increase of $25.6 million over the three months ended March 31, 2022, primarily driven by an increase in net income and changes in working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$16.7 million for the three months ended March 31, 2023, which consisted of $9.8 million of capitalized software development costs and $6.9 million of purchases of furniture, equipment, purchased software and leasehold improvements. Net cash used in investing activities was $18.0 million for the three months ended March 31, 2022, which consisted of $9.0 million of capitalized software development costs and $9.1 million of purchases of furniture, equipment, purchased software and leasehold improvements.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was $80.5 million, and was primarily driven by $32.9 million in payroll tax payments for options, PRSUs and RSUs, net of proceeds from the related stock-based compensation option exercises, $20.8 million in share repurchases pursuant to the 2022 Share Repurchase Program and $18.7 million in cash dividends to our Class A and Class B common stockholders. Net cash used in financing activities for the three months ended March 31, 2022 was $168.1 million, and was primarily driven by $93.2 million in payroll tax payments for options, PRSUs and RSUs, net of proceeds from the related stock-based compensation option exercises, $47.3 million in share repurchases pursuant to the 2021 Share Repurchase Program and $16.4 million in cash dividends to our Class A and Class B common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three months ended March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70,840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45,243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(9,835)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(8,979)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(9,061)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54,126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27,203</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net interest income/expense,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net interest income/expense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3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IPO options awarded in 2019 to management and other employees as well as payroll taxes associated with exercises of such options during the applicable period. We believe it is useful to exclude this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and associated payroll taxes because the amount of expense associated with the Special Option Award and the post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IPO option awards in 2019 may not directly correlate to the underlying performance of our business and will vary across periods. Beginning on August 30, 2021, we also exclude the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cash accelerated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compensation expense associated with our former CFO and beginning on February 11, 2022 the incremental non-cash accelerated stock-based compensation expense associated with our retired CEO, the CEO Retirement Accelerated Stock-Based Compensation Expense discussed above under “— Trends and Other Factors Impacting Our Performance — CEO Transition,”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months ended March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102,193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97,445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44,450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33,205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13,710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172,203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160,635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(44,450)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31,617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31,769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158,416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147,954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right="360" w:hanging="332"/>
        <w:spacing w:after="0" w:line="271"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20" w:hanging="332"/>
        <w:spacing w:after="0" w:line="256"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months ended March 31, 2022, this adjustment also includes $1.7 million of non-cash accelerated stock-based compensation expense and related payroll taxes associated with our former CFO and former CEO.</w:t>
      </w:r>
    </w:p>
    <w:p>
      <w:pPr>
        <w:spacing w:after="0" w:line="1" w:lineRule="exact"/>
        <w:rPr>
          <w:rFonts w:ascii="Times New Roman" w:cs="Times New Roman" w:eastAsia="Times New Roman" w:hAnsi="Times New Roman"/>
          <w:sz w:val="14"/>
          <w:szCs w:val="14"/>
          <w:color w:val="auto"/>
        </w:rPr>
      </w:pPr>
    </w:p>
    <w:p>
      <w:pPr>
        <w:ind w:left="340" w:right="60" w:hanging="332"/>
        <w:spacing w:after="0" w:line="259"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4"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jc w:val="both"/>
        <w:ind w:left="340" w:right="240" w:hanging="332"/>
        <w:spacing w:after="0" w:line="270" w:lineRule="auto"/>
        <w:tabs>
          <w:tab w:leader="none" w:pos="33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6520" w:type="dxa"/>
            <w:vAlign w:val="bottom"/>
          </w:tcPr>
          <w:p>
            <w:pPr>
              <w:spacing w:after="0"/>
              <w:rPr>
                <w:sz w:val="12"/>
                <w:szCs w:val="12"/>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203"/>
        </w:trPr>
        <w:tc>
          <w:tcPr>
            <w:tcW w:w="65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Point Change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+73 bps</w:t>
            </w:r>
          </w:p>
        </w:tc>
        <w:tc>
          <w:tcPr>
            <w:tcW w:w="1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+64 bps</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+61 bps</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+56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months ended March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4"/>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9"/>
        </w:trPr>
        <w:tc>
          <w:tcPr>
            <w:tcW w:w="8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gridSpan w:val="4"/>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87,856</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31,769</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14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147,507</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jc w:val="both"/>
        <w:ind w:left="340" w:right="240" w:hanging="332"/>
        <w:spacing w:after="0" w:line="254"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stock-based compensation expense associated with the Special Option Award and post-IPO options awarded in 2019 and payroll taxes associated with the exercise of such options. During the three months ended March 31, 2022, this adjustment also includes $1.7 million of non-cash accelerated stock-based compensation expense and related payroll taxes associated with our former CFO and former CEO.</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4"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0" w:hanging="332"/>
        <w:spacing w:after="0" w:line="259"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24.5% and 22.0% applied to Adjusted Net Income before income taxes for the three months ended March 31, 2023 and 2022, respectively.</w:t>
      </w:r>
    </w:p>
    <w:p>
      <w:pPr>
        <w:ind w:left="340" w:right="40" w:hanging="332"/>
        <w:spacing w:after="0" w:line="283"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months ended March 31, 2023 and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 Weighted Average Shares Outstanding and</w:t>
            </w: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Diluted EPS</w:t>
            </w: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8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Class A and Class B common stock outstanding</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210,143,734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207,497,102</w:t>
            </w:r>
          </w:p>
        </w:tc>
        <w:tc>
          <w:tcPr>
            <w:tcW w:w="0" w:type="dxa"/>
            <w:vAlign w:val="bottom"/>
          </w:tcPr>
          <w:p>
            <w:pPr>
              <w:spacing w:after="0"/>
              <w:rPr>
                <w:sz w:val="1"/>
                <w:szCs w:val="1"/>
                <w:color w:val="auto"/>
              </w:rPr>
            </w:pPr>
          </w:p>
        </w:tc>
      </w:tr>
      <w:tr>
        <w:trPr>
          <w:trHeight w:val="27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0" w:type="dxa"/>
            <w:vAlign w:val="bottom"/>
          </w:tcPr>
          <w:p>
            <w:pPr>
              <w:spacing w:after="0"/>
              <w:rPr>
                <w:sz w:val="1"/>
                <w:szCs w:val="1"/>
                <w:color w:val="auto"/>
              </w:rPr>
            </w:pPr>
          </w:p>
        </w:tc>
      </w:tr>
      <w:tr>
        <w:trPr>
          <w:trHeight w:val="27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Assumed exchange of LLC Interests for shares of Class A or Class B 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26,340,754</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30,296,879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236,776,260</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237,847,737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20" w:hanging="332"/>
        <w:spacing w:after="0" w:line="266"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4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Refinitiv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annual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or each historical data set until the end of the contract term.</w:t>
      </w:r>
    </w:p>
    <w:p>
      <w:pPr>
        <w:spacing w:after="0" w:line="134"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for the performance obligations is determined by using a market assessment analysis. Inputs in this analysis include a consultant study which determined the overall value of our market data and pricing information for historical data sets provided by other companies.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each of the three months ended March 31, 2023 and 2022, there were no material changes in the assumptions used to determine the Refinitiv market data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2023, we granted 251,113 performance-based restricted stock units that vest based on market conditions with a grant date fair value totaling $24.7 million, which will be amortized into expense on a straight-line basis through December 31, 2025. The significant assumptions used in determining the grant date fair value of the award were a maturity of 2.8 years, annualized volatility of 28.81% and a risk-free interest rate of 3.77%. A change in any of the assumptions used to value these awards could materially affect stock-based compensation expense recorded in the current and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March 31, 2023 and December 31, 2022, we have no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spacing w:after="0" w:line="1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Derivative Risk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months ended March 31,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hanging="194"/>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33655</wp:posOffset>
            </wp:positionV>
            <wp:extent cx="1774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7"/>
          <w:szCs w:val="17"/>
          <w:color w:val="auto"/>
        </w:rPr>
        <w:t>30%</w:t>
      </w:r>
    </w:p>
    <w:p>
      <w:pPr>
        <w:spacing w:after="0" w:line="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14%</w:t>
      </w:r>
    </w:p>
    <w:p>
      <w:pPr>
        <w:spacing w:after="0" w:line="628" w:lineRule="exact"/>
        <w:rPr>
          <w:sz w:val="20"/>
          <w:szCs w:val="20"/>
          <w:color w:val="auto"/>
        </w:rPr>
      </w:pPr>
    </w:p>
    <w:p>
      <w:pPr>
        <w:sectPr>
          <w:pgSz w:w="11900" w:h="16838" w:orient="portrait"/>
          <w:cols w:equalWidth="0" w:num="2">
            <w:col w:w="8240" w:space="720"/>
            <w:col w:w="2280"/>
          </w:cols>
          <w:pgMar w:left="320" w:top="121" w:right="339" w:bottom="1440" w:gutter="0" w:footer="0" w:header="0"/>
          <w:type w:val="continuous"/>
        </w:sect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losses from foreign currency re-measurement of transactions in nonfunctional currencies recognized in the condensed consolidated statements of income within general and administrative expense totaled $0.4 million and $0.3 million during the three months ended March 31, 2023 and 2022, respectively.</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months ended March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months ended March 31, 2023 and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(amounts in thousands)</w:t>
            </w: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tcBorders>
              <w:bottom w:val="single" w:sz="8" w:color="auto"/>
            </w:tcBorders>
            <w:vMerge w:val="continue"/>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3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3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886"/>
        </w:trPr>
        <w:tc>
          <w:tcPr>
            <w:tcW w:w="4940" w:type="dxa"/>
            <w:vAlign w:val="bottom"/>
          </w:tcPr>
          <w:p>
            <w:pPr>
              <w:spacing w:after="0"/>
              <w:rPr>
                <w:sz w:val="24"/>
                <w:szCs w:val="24"/>
                <w:color w:val="auto"/>
              </w:rPr>
            </w:pPr>
          </w:p>
        </w:tc>
        <w:tc>
          <w:tcPr>
            <w:tcW w:w="342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months ended March 31,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(amounts in thousands)</w:t>
            </w: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8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derivative risk relating to our foreign currency forward contracts. We enter into foreign currency forward contracts to mitigate our U.S. dollar and British pound sterling versus euro exposure, generally with a duration of not more than 12 months. We do not use derivative instruments for trading or speculative purposes. As of March 31, 2023 and December 31, 2022, the notional amount of our foreign currency forward contracts was $179.2 million and $162.8 million, respectively. Realized and unrealized gains/losses on foreign currency forward contracts totaled a $1.2 million loss and a $0.7 million gain during the three months ended March 31, 2023 and 2022, respectively.</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money market instruments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March 31, 2023 and December 31, 2022, the allowance for credit losses with regard to these receivables totaled $0.2 million and $0.1 million, respectively.</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March 31, 2023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2022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2022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we repurchased the following shares of shares of Class A common stock:</w:t>
      </w:r>
    </w:p>
    <w:p>
      <w:pPr>
        <w:spacing w:after="0" w:line="232" w:lineRule="exact"/>
        <w:rPr>
          <w:sz w:val="20"/>
          <w:szCs w:val="20"/>
          <w:color w:val="auto"/>
        </w:rPr>
      </w:pPr>
    </w:p>
    <w:p>
      <w:pPr>
        <w:jc w:val="right"/>
        <w:ind w:right="6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Total Number of</w:t>
      </w:r>
      <w:r>
        <w:rPr>
          <w:sz w:val="20"/>
          <w:szCs w:val="20"/>
          <w:color w:val="auto"/>
        </w:rPr>
        <w:tab/>
      </w:r>
      <w:r>
        <w:rPr>
          <w:rFonts w:ascii="Times New Roman" w:cs="Times New Roman" w:eastAsia="Times New Roman" w:hAnsi="Times New Roman"/>
          <w:sz w:val="14"/>
          <w:szCs w:val="14"/>
          <w:b w:val="1"/>
          <w:bCs w:val="1"/>
          <w:color w:val="auto"/>
        </w:rPr>
        <w:t>Approximate Dollar</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3" w:lineRule="exact"/>
        <w:rPr>
          <w:sz w:val="20"/>
          <w:szCs w:val="20"/>
          <w:color w:val="auto"/>
        </w:rPr>
      </w:pPr>
    </w:p>
    <w:p>
      <w:pPr>
        <w:sectPr>
          <w:pgSz w:w="11900" w:h="16838" w:orient="portrait"/>
          <w:cols w:equalWidth="0" w:num="2">
            <w:col w:w="8360" w:space="8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2023 - January 31, 2023</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3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2023 - February 28, 2023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272,676</w:t>
            </w:r>
          </w:p>
        </w:tc>
      </w:tr>
      <w:tr>
        <w:trPr>
          <w:trHeight w:val="229"/>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2023 - March 31,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280,844</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252,294</w:t>
            </w:r>
          </w:p>
        </w:tc>
      </w:tr>
      <w:tr>
        <w:trPr>
          <w:trHeight w:val="22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313,311</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80" w:hanging="332"/>
        <w:spacing w:after="0" w:line="265" w:lineRule="auto"/>
        <w:tabs>
          <w:tab w:leader="none" w:pos="32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46" w:lineRule="exact"/>
        <w:rPr>
          <w:rFonts w:ascii="Times New Roman" w:cs="Times New Roman" w:eastAsia="Times New Roman" w:hAnsi="Times New Roman"/>
          <w:sz w:val="14"/>
          <w:szCs w:val="14"/>
          <w:color w:val="auto"/>
        </w:rPr>
      </w:pPr>
    </w:p>
    <w:p>
      <w:pPr>
        <w:ind w:left="340" w:right="20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repurchased pursuant to the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w:t>
      </w:r>
    </w:p>
    <w:p>
      <w:pPr>
        <w:spacing w:after="0" w:line="16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PRSUs and RSUs. During the three months ended March 31, 2023, the Company withheld 574,824 shares of Class A common stock in connection with such exercises and vesting of stock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40" w:type="dxa"/>
            <w:vAlign w:val="bottom"/>
            <w:gridSpan w:val="17"/>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31"/>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Amendment No. 2, dated as of March 31, 2023, by and between Tradeweb Markets LLC and Citibank, N.A., as administrative</w:t>
              </w:r>
            </w:hyperlink>
          </w:p>
        </w:tc>
        <w:tc>
          <w:tcPr>
            <w:tcW w:w="480" w:type="dxa"/>
            <w:vAlign w:val="bottom"/>
            <w:gridSpan w:val="9"/>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agent, relating to the Credit Agreement, dated as of April 8, 2019, among Tradeweb Markets LLC, the lenders party thereto and</w:t>
              </w:r>
            </w:hyperlink>
          </w:p>
        </w:tc>
        <w:tc>
          <w:tcPr>
            <w:tcW w:w="400" w:type="dxa"/>
            <w:vAlign w:val="bottom"/>
            <w:gridSpan w:val="8"/>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gridSpan w:val="24"/>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Citibank, N.A., as administrative agent, collateral agent, issuing bank and swing line lender. (incorporated by reference to Exhibit</w:t>
              </w:r>
            </w:hyperlink>
          </w:p>
        </w:tc>
      </w:tr>
      <w:tr>
        <w:trPr>
          <w:trHeight w:val="169"/>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on April 4, 2023 (File No. 001-38860)).</w:t>
              </w:r>
            </w:hyperlink>
          </w:p>
        </w:tc>
        <w:tc>
          <w:tcPr>
            <w:tcW w:w="23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7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600" w:type="dxa"/>
            <w:vAlign w:val="bottom"/>
            <w:gridSpan w:val="2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Employment Agreement, dated as of February 21, 2023, by and between William Hult and Tradeweb</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Markets LLC (incorporated by reference to Exhibit 10.30 to the Company’s Annual Report on Form 10-K filed on February</w:t>
              </w:r>
            </w:hyperlink>
          </w:p>
        </w:tc>
        <w:tc>
          <w:tcPr>
            <w:tcW w:w="200" w:type="dxa"/>
            <w:vAlign w:val="bottom"/>
            <w:gridSpan w:val="3"/>
          </w:tcPr>
          <w:p>
            <w:pPr>
              <w:jc w:val="right"/>
              <w:ind w:right="20"/>
              <w:spacing w:after="0" w:line="156" w:lineRule="exact"/>
              <w:rPr>
                <w:rFonts w:ascii="Times New Roman" w:cs="Times New Roman" w:eastAsia="Times New Roman" w:hAnsi="Times New Roman"/>
                <w:sz w:val="18"/>
                <w:szCs w:val="18"/>
                <w:color w:val="0000FF"/>
                <w:w w:val="70"/>
              </w:rPr>
            </w:pPr>
            <w:hyperlink r:id="rId103">
              <w:r>
                <w:rPr>
                  <w:rFonts w:ascii="Times New Roman" w:cs="Times New Roman" w:eastAsia="Times New Roman" w:hAnsi="Times New Roman"/>
                  <w:sz w:val="18"/>
                  <w:szCs w:val="18"/>
                  <w:color w:val="0000FF"/>
                  <w:w w:val="70"/>
                </w:rPr>
                <w:t>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2023 (File No. 001-38860)).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Tradeweb Markets Inc. 2019 Omnibus Equity Incentive Plan Performance Stock Unit Award Agreement (Form of PSU Agreement</w:t>
              </w:r>
            </w:hyperlink>
          </w:p>
        </w:tc>
        <w:tc>
          <w:tcPr>
            <w:tcW w:w="160" w:type="dxa"/>
            <w:vAlign w:val="bottom"/>
            <w:gridSpan w:val="2"/>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gridSpan w:val="24"/>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for Mr. Hult) (incorporated by reference to Exhibit 10.31 to the Company’s Annual Report on Form 10-K filed on February 24, 2023</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(File No. 001-38860)).</w:t>
              </w:r>
            </w:hyperlink>
          </w:p>
        </w:tc>
        <w:tc>
          <w:tcPr>
            <w:tcW w:w="792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2023 Performance Stock Unit Award Agreement (Form of PSU</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Agreement for other Executive Officers).</w:t>
            </w: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2023 PRSU Award Agreement (Form of PRSU Agreement for Mr.</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Hult).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2023 PRSU Award Agreement (Form of PRSU Agreement for other</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Executive Officers).</w:t>
            </w:r>
          </w:p>
        </w:tc>
        <w:tc>
          <w:tcPr>
            <w:tcW w:w="7900" w:type="dxa"/>
            <w:vAlign w:val="bottom"/>
            <w:tcBorders>
              <w:top w:val="single" w:sz="8" w:color="0000FF"/>
            </w:tcBorders>
            <w:gridSpan w:val="18"/>
          </w:tcPr>
          <w:p>
            <w:pPr>
              <w:spacing w:after="0"/>
              <w:rPr>
                <w:sz w:val="13"/>
                <w:szCs w:val="13"/>
                <w:color w:val="auto"/>
              </w:rPr>
            </w:pPr>
          </w:p>
        </w:tc>
        <w:tc>
          <w:tcPr>
            <w:tcW w:w="240" w:type="dxa"/>
            <w:vAlign w:val="bottom"/>
            <w:gridSpan w:val="3"/>
          </w:tcPr>
          <w:p>
            <w:pPr>
              <w:spacing w:after="0"/>
              <w:rPr>
                <w:sz w:val="13"/>
                <w:szCs w:val="13"/>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2023 Restricted Stock Unit Award Agreement (Form of RSU</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Agreement for Mr. Hult).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8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Tradeweb Markets Inc. 2019 Omnibus Equity Incentive Plan 2023 Restricted Stock Unit Award Agreement (Form of RSU</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Agreement for other Executive Officers).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4"/>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4"/>
          </w:tcPr>
          <w:p>
            <w:pPr>
              <w:spacing w:after="0"/>
              <w:rPr>
                <w:sz w:val="13"/>
                <w:szCs w:val="13"/>
                <w:color w:val="auto"/>
              </w:rPr>
            </w:pPr>
          </w:p>
        </w:tc>
        <w:tc>
          <w:tcPr>
            <w:tcW w:w="3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4"/>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gridSpan w:val="3"/>
          </w:tcPr>
          <w:p>
            <w:pPr>
              <w:spacing w:after="0"/>
              <w:rPr>
                <w:sz w:val="13"/>
                <w:szCs w:val="13"/>
                <w:color w:val="auto"/>
              </w:rPr>
            </w:pPr>
          </w:p>
        </w:tc>
        <w:tc>
          <w:tcPr>
            <w:tcW w:w="3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20" w:type="dxa"/>
            <w:vAlign w:val="bottom"/>
            <w:gridSpan w:val="5"/>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860" w:type="dxa"/>
            <w:vAlign w:val="bottom"/>
            <w:gridSpan w:val="16"/>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385"/>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6"/>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220" w:type="dxa"/>
            <w:vAlign w:val="bottom"/>
            <w:gridSpan w:val="22"/>
          </w:tcPr>
          <w:p>
            <w:pPr>
              <w:spacing w:after="0" w:line="20" w:lineRule="exact"/>
              <w:rPr>
                <w:sz w:val="1"/>
                <w:szCs w:val="1"/>
                <w:color w:val="auto"/>
              </w:rPr>
            </w:pPr>
          </w:p>
        </w:tc>
      </w:tr>
      <w:tr>
        <w:trPr>
          <w:trHeight w:val="42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57" w:lineRule="exact"/>
        <w:rPr>
          <w:sz w:val="20"/>
          <w:szCs w:val="20"/>
          <w:color w:val="auto"/>
        </w:rPr>
      </w:pPr>
    </w:p>
    <w:p>
      <w:pPr>
        <w:ind w:left="1620" w:hanging="1594"/>
        <w:spacing w:after="0"/>
        <w:tabs>
          <w:tab w:leader="none" w:pos="1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2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7"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Indicates a management contract or compensatory plan or arrangement.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27, 2023</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April 27, 2023</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600"/>
          </w:cols>
          <w:pgMar w:left="320" w:top="121" w:right="979" w:bottom="1440" w:gutter="0" w:footer="0" w:header="0"/>
        </w:sectPr>
      </w:pPr>
    </w:p>
    <w:bookmarkStart w:id="72" w:name="page73"/>
    <w:bookmarkEnd w:id="72"/>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PSU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PSU, to the extent earned and vested pursuant to the terms set forth in the Award Agreement, represents the right to receive one (1) Share at the time and in the manner set forth in Section 5 of the Award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9601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9601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-11430</wp:posOffset>
            </wp:positionV>
            <wp:extent cx="9601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33"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January 1, 2023 – December 31, 2025</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32172743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-29210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360"/>
          </w:cols>
          <w:pgMar w:left="980" w:top="1440" w:right="559" w:bottom="1440" w:gutter="0" w:footer="0" w:header="0"/>
          <w:type w:val="continuous"/>
        </w:sectPr>
      </w:pPr>
    </w:p>
    <w:bookmarkStart w:id="74" w:name="page75"/>
    <w:bookmarkEnd w:id="74"/>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2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THIS PSU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8" w:lineRule="exact"/>
        <w:rPr>
          <w:sz w:val="20"/>
          <w:szCs w:val="20"/>
          <w:color w:val="auto"/>
        </w:rPr>
      </w:pPr>
    </w:p>
    <w:p>
      <w:pPr>
        <w:ind w:left="2120" w:hanging="816"/>
        <w:spacing w:after="0"/>
        <w:tabs>
          <w:tab w:leader="none" w:pos="21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77" w:lineRule="exact"/>
        <w:rPr>
          <w:sz w:val="20"/>
          <w:szCs w:val="20"/>
          <w:color w:val="auto"/>
        </w:rPr>
      </w:pPr>
    </w:p>
    <w:p>
      <w:pPr>
        <w:ind w:left="2120" w:hanging="816"/>
        <w:spacing w:after="0"/>
        <w:tabs>
          <w:tab w:leader="none" w:pos="21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PSUs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73" w:lineRule="exact"/>
        <w:rPr>
          <w:sz w:val="20"/>
          <w:szCs w:val="20"/>
          <w:color w:val="auto"/>
        </w:rPr>
      </w:pPr>
    </w:p>
    <w:p>
      <w:pPr>
        <w:ind w:left="2120" w:hanging="816"/>
        <w:spacing w:after="0"/>
        <w:tabs>
          <w:tab w:leader="none" w:pos="21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PSUs</w:t>
      </w:r>
    </w:p>
    <w:p>
      <w:pPr>
        <w:spacing w:after="0" w:line="210" w:lineRule="exact"/>
        <w:rPr>
          <w:sz w:val="20"/>
          <w:szCs w:val="20"/>
          <w:color w:val="auto"/>
        </w:rPr>
      </w:pPr>
    </w:p>
    <w:p>
      <w:pPr>
        <w:jc w:val="both"/>
        <w:ind w:firstLine="1304"/>
        <w:spacing w:after="0" w:line="217"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first day following the end of the Performance Period (the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In the event of a Change in Control prior to the Vesting Date, the Award will be fully vested on the date of the Change in Control. For the sake of clarity, this accelerated vesting (other than in the case of a Qualified Change in Control as described in Section 5(b) below) shall not change the Settlement Date as set forth in Section 5(b) below.</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no amounts will be payable hereunder.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Death or Disability; Retirement</w:t>
      </w:r>
      <w:r>
        <w:rPr>
          <w:rFonts w:ascii="Times New Roman" w:cs="Times New Roman" w:eastAsia="Times New Roman" w:hAnsi="Times New Roman"/>
          <w:sz w:val="21"/>
          <w:szCs w:val="21"/>
          <w:color w:val="auto"/>
        </w:rPr>
        <w:t>. In the event of (i) the Grantee’s Termination by the Company without Cause, or on account of his or her death or Disability, or (ii) the Grantee’s Retirement, in each case prior to the Vesting Date, the Grantee or the Grantee’s estate will be entitled to retain a pro rated portion of the Award, which shall remain eligible for settlement in accordance with Section 5 below and Annex A hereto (including application of any “TSR Performance Modifier”). For purposes of the foregoing, the pro rated portion of the Award that the Grantee or the Grantee’s estate shall be entitled to retain shall be calculated by multiplying the total number of Target PSUs awarded hereunder by a fraction, the numerator of which is the number of days from the first day of the Performance Period to the date of Termination, death or Disability, as applicable and the denominator of which is the total number of days in the Performance Period, which amount thereafter will represent the Grantee’s Target PSUs under this Award Agreement. For purposes of this Award</w:t>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225" w:lineRule="auto"/>
        <w:rPr>
          <w:sz w:val="20"/>
          <w:szCs w:val="20"/>
          <w:color w:val="auto"/>
        </w:rPr>
      </w:pPr>
      <w:r>
        <w:rPr>
          <w:rFonts w:ascii="Times New Roman" w:cs="Times New Roman" w:eastAsia="Times New Roman" w:hAnsi="Times New Roman"/>
          <w:sz w:val="22"/>
          <w:szCs w:val="22"/>
          <w:color w:val="auto"/>
        </w:rPr>
        <w:t>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53" w:lineRule="exact"/>
        <w:rPr>
          <w:sz w:val="20"/>
          <w:szCs w:val="20"/>
          <w:color w:val="auto"/>
        </w:rPr>
      </w:pPr>
    </w:p>
    <w:p>
      <w:pPr>
        <w:jc w:val="both"/>
        <w:ind w:firstLine="1304"/>
        <w:spacing w:after="0" w:line="213"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the Grantee is Terminated by the Company for Cause at any time prior to the Settlement Date, the Grantee shall forfeit all rights hereunder (including with respect to Earned PSUs (as defined below) and any associated dividend equivalent rights).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w:t>
      </w:r>
    </w:p>
    <w:p>
      <w:pPr>
        <w:spacing w:after="0" w:line="152" w:lineRule="exact"/>
        <w:rPr>
          <w:sz w:val="20"/>
          <w:szCs w:val="20"/>
          <w:color w:val="auto"/>
        </w:rPr>
      </w:pPr>
    </w:p>
    <w:p>
      <w:pPr>
        <w:ind w:left="2120" w:hanging="816"/>
        <w:spacing w:after="0"/>
        <w:tabs>
          <w:tab w:leader="none" w:pos="21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PSUs granted hereunder in respect of any dividends paid on Shares (on a one Share to one PSU basis) from the first day of the Performance Period through the last day of the Performance Period. To the extent the Target PSUs that gave rise to any dividend equivalent rights are forfeited pursuant to this Award or the Plan, those dividend equivalent rights will also be forfeited. The aggregate dollar amount of dividend equivalent rights accumulated under this Section 4 in respect of the Target PSUs and not forfeited shall be added to, and be settled on the Settlement Date.</w:t>
      </w:r>
    </w:p>
    <w:p>
      <w:pPr>
        <w:spacing w:after="0" w:line="175" w:lineRule="exact"/>
        <w:rPr>
          <w:sz w:val="20"/>
          <w:szCs w:val="20"/>
          <w:color w:val="auto"/>
        </w:rPr>
      </w:pPr>
    </w:p>
    <w:p>
      <w:pPr>
        <w:ind w:left="2120" w:hanging="816"/>
        <w:spacing w:after="0"/>
        <w:tabs>
          <w:tab w:leader="none" w:pos="212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PSUs</w:t>
      </w:r>
    </w:p>
    <w:p>
      <w:pPr>
        <w:spacing w:after="0" w:line="210" w:lineRule="exact"/>
        <w:rPr>
          <w:sz w:val="20"/>
          <w:szCs w:val="20"/>
          <w:color w:val="auto"/>
        </w:rPr>
      </w:pPr>
    </w:p>
    <w:p>
      <w:pPr>
        <w:jc w:val="both"/>
        <w:ind w:firstLine="1304"/>
        <w:spacing w:after="0" w:line="209"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PSUs and related dividend equivalent rights. The “</w:t>
      </w:r>
      <w:r>
        <w:rPr>
          <w:rFonts w:ascii="Times New Roman" w:cs="Times New Roman" w:eastAsia="Times New Roman" w:hAnsi="Times New Roman"/>
          <w:sz w:val="22"/>
          <w:szCs w:val="22"/>
          <w:u w:val="single" w:color="auto"/>
          <w:color w:val="auto"/>
        </w:rPr>
        <w:t>Settlement Number</w:t>
      </w:r>
      <w:r>
        <w:rPr>
          <w:rFonts w:ascii="Times New Roman" w:cs="Times New Roman" w:eastAsia="Times New Roman" w:hAnsi="Times New Roman"/>
          <w:sz w:val="22"/>
          <w:szCs w:val="22"/>
          <w:color w:val="auto"/>
        </w:rPr>
        <w:t>” is equal to the sum of (i) the number of Shares that are equal to the product of the number of Target PSUs multiplied by the Performance Modifier (the “</w:t>
      </w:r>
      <w:r>
        <w:rPr>
          <w:rFonts w:ascii="Times New Roman" w:cs="Times New Roman" w:eastAsia="Times New Roman" w:hAnsi="Times New Roman"/>
          <w:sz w:val="22"/>
          <w:szCs w:val="22"/>
          <w:u w:val="single" w:color="auto"/>
          <w:color w:val="auto"/>
        </w:rPr>
        <w:t>Earned PSUs</w:t>
      </w:r>
      <w:r>
        <w:rPr>
          <w:rFonts w:ascii="Times New Roman" w:cs="Times New Roman" w:eastAsia="Times New Roman" w:hAnsi="Times New Roman"/>
          <w:sz w:val="22"/>
          <w:szCs w:val="22"/>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2"/>
          <w:szCs w:val="22"/>
          <w:u w:val="single" w:color="auto"/>
          <w:color w:val="auto"/>
        </w:rPr>
        <w:t>Performance Modifier</w:t>
      </w:r>
      <w:r>
        <w:rPr>
          <w:rFonts w:ascii="Times New Roman" w:cs="Times New Roman" w:eastAsia="Times New Roman" w:hAnsi="Times New Roman"/>
          <w:sz w:val="22"/>
          <w:szCs w:val="22"/>
          <w:color w:val="auto"/>
        </w:rPr>
        <w:t xml:space="preserve">” means a percentage range to be approved by the Board, to be based on the Company’s achievement of the performance goals as set forth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provided that the number of resulting Shares after application of the Performance Modifier will be rounded down to the nearest whole Share. Any of the Target PSUs that are not determined to be Earned PSUs will be automatically forfeited, terminated and cancelled effective as of the Settlement Date without payment of any consideration by the Company, and the Grantee will have no further rights with respect to such unearned Target PSUs under this Agreement.</w:t>
      </w:r>
    </w:p>
    <w:p>
      <w:pPr>
        <w:spacing w:after="0" w:line="160"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described in this Section 5 shall occur on the Settlement Date. For purposes of this Award Agreement,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means the first trading date following the date that the Company determines the level of achievement of the Performance Modifier (as defined below) and establishes the number of Earned PSUs, which will occur within 15 days following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“Qualified Change in Control” (as defined below) occurs prior to the Vesting Date, settlement of the Earned PSUs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76" w:name="page77"/>
    <w:bookmarkEnd w:id="76"/>
    <w:p>
      <w:pPr>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Change in Control</w:t>
      </w:r>
      <w:r>
        <w:rPr>
          <w:rFonts w:ascii="Times New Roman" w:cs="Times New Roman" w:eastAsia="Times New Roman" w:hAnsi="Times New Roman"/>
          <w:sz w:val="22"/>
          <w:szCs w:val="22"/>
          <w:color w:val="auto"/>
        </w:rPr>
        <w:t>” is a Change in Control that also constitutes a change of ownership or effective control of, or in the ownership of a substantial portion of the assets of, the Company for purposes of Code Section 409A.</w:t>
      </w:r>
    </w:p>
    <w:p>
      <w:pPr>
        <w:spacing w:after="0" w:line="146" w:lineRule="exact"/>
        <w:rPr>
          <w:sz w:val="20"/>
          <w:szCs w:val="20"/>
          <w:color w:val="auto"/>
        </w:rPr>
      </w:pPr>
    </w:p>
    <w:p>
      <w:pPr>
        <w:ind w:left="2120" w:hanging="654"/>
        <w:spacing w:after="0"/>
        <w:tabs>
          <w:tab w:leader="none" w:pos="21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76" w:lineRule="exact"/>
        <w:rPr>
          <w:sz w:val="20"/>
          <w:szCs w:val="20"/>
          <w:color w:val="auto"/>
        </w:rPr>
      </w:pPr>
    </w:p>
    <w:p>
      <w:pPr>
        <w:ind w:left="2120" w:hanging="654"/>
        <w:spacing w:after="0"/>
        <w:tabs>
          <w:tab w:leader="none" w:pos="2120"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PSUs and Recovery</w:t>
      </w:r>
      <w:r>
        <w:rPr>
          <w:rFonts w:ascii="Times New Roman" w:cs="Times New Roman" w:eastAsia="Times New Roman" w:hAnsi="Times New Roman"/>
          <w:sz w:val="22"/>
          <w:szCs w:val="22"/>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 (a) the Grantee materially breaches or violates the Grantee’s obligations under any Restrictive Agreement to which the Grantee is a party, or (b) the Grantee engages in any activity prohibited by this Section 7 of this Award Agreement, or (c)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17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177" w:lineRule="exact"/>
        <w:rPr>
          <w:sz w:val="20"/>
          <w:szCs w:val="20"/>
          <w:color w:val="auto"/>
        </w:rPr>
      </w:pPr>
    </w:p>
    <w:p>
      <w:pPr>
        <w:ind w:left="2120" w:hanging="654"/>
        <w:spacing w:after="0"/>
        <w:tabs>
          <w:tab w:leader="none" w:pos="21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20" w:lineRule="auto"/>
        <w:rPr>
          <w:sz w:val="20"/>
          <w:szCs w:val="20"/>
          <w:color w:val="auto"/>
        </w:rPr>
      </w:pPr>
      <w:r>
        <w:rPr>
          <w:rFonts w:ascii="Times New Roman" w:cs="Times New Roman" w:eastAsia="Times New Roman" w:hAnsi="Times New Roman"/>
          <w:sz w:val="22"/>
          <w:szCs w:val="22"/>
          <w:color w:val="auto"/>
        </w:rPr>
        <w:t>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Board to satisfy all obligations for the payment of such withholding taxes.</w:t>
      </w:r>
    </w:p>
    <w:p>
      <w:pPr>
        <w:spacing w:after="0" w:line="175" w:lineRule="exact"/>
        <w:rPr>
          <w:sz w:val="20"/>
          <w:szCs w:val="20"/>
          <w:color w:val="auto"/>
        </w:rPr>
      </w:pPr>
    </w:p>
    <w:p>
      <w:pPr>
        <w:ind w:left="2120" w:hanging="654"/>
        <w:spacing w:after="0"/>
        <w:tabs>
          <w:tab w:leader="none" w:pos="21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this Award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09" w:lineRule="exact"/>
        <w:rPr>
          <w:sz w:val="20"/>
          <w:szCs w:val="20"/>
          <w:color w:val="auto"/>
        </w:rPr>
      </w:pPr>
    </w:p>
    <w:p>
      <w:pPr>
        <w:ind w:left="2100" w:hanging="634"/>
        <w:spacing w:after="0"/>
        <w:tabs>
          <w:tab w:leader="none" w:pos="210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PSUs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82" w:lineRule="exact"/>
        <w:rPr>
          <w:sz w:val="20"/>
          <w:szCs w:val="20"/>
          <w:color w:val="auto"/>
        </w:rPr>
      </w:pPr>
    </w:p>
    <w:p>
      <w:pPr>
        <w:ind w:left="2120" w:hanging="654"/>
        <w:spacing w:after="0"/>
        <w:tabs>
          <w:tab w:leader="none" w:pos="21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w:t>
      </w:r>
    </w:p>
    <w:p>
      <w:pPr>
        <w:spacing w:after="0" w:line="3" w:lineRule="exact"/>
        <w:rPr>
          <w:sz w:val="20"/>
          <w:szCs w:val="20"/>
          <w:color w:val="auto"/>
        </w:rPr>
      </w:pPr>
    </w:p>
    <w:p>
      <w:pPr>
        <w:jc w:val="both"/>
        <w:ind w:firstLine="8"/>
        <w:spacing w:after="0" w:line="230" w:lineRule="auto"/>
        <w:tabs>
          <w:tab w:leader="none" w:pos="31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16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ind w:left="1960" w:right="6720"/>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78" w:name="page79"/>
    <w:bookmarkEnd w:id="78"/>
    <w:p>
      <w:pPr>
        <w:ind w:left="1940" w:hanging="636"/>
        <w:spacing w:after="0"/>
        <w:tabs>
          <w:tab w:leader="none" w:pos="19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02"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10" w:lineRule="exact"/>
        <w:rPr>
          <w:sz w:val="20"/>
          <w:szCs w:val="20"/>
          <w:color w:val="auto"/>
        </w:rPr>
      </w:pPr>
    </w:p>
    <w:p>
      <w:pPr>
        <w:jc w:val="both"/>
        <w:ind w:firstLine="1304"/>
        <w:spacing w:after="0" w:line="215"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3" w:lineRule="exact"/>
        <w:rPr>
          <w:sz w:val="20"/>
          <w:szCs w:val="20"/>
          <w:color w:val="auto"/>
        </w:rPr>
      </w:pPr>
    </w:p>
    <w:p>
      <w:pPr>
        <w:ind w:left="2120" w:hanging="654"/>
        <w:spacing w:after="0"/>
        <w:tabs>
          <w:tab w:leader="none" w:pos="212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1" w:lineRule="exact"/>
        <w:rPr>
          <w:sz w:val="20"/>
          <w:szCs w:val="20"/>
          <w:color w:val="auto"/>
        </w:rPr>
      </w:pPr>
    </w:p>
    <w:p>
      <w:pPr>
        <w:ind w:left="2120" w:hanging="654"/>
        <w:spacing w:after="0"/>
        <w:tabs>
          <w:tab w:leader="none" w:pos="212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22"/>
          <w:szCs w:val="22"/>
          <w:color w:val="auto"/>
        </w:rPr>
        <w:t>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77" w:lineRule="exact"/>
        <w:rPr>
          <w:sz w:val="20"/>
          <w:szCs w:val="20"/>
          <w:color w:val="auto"/>
        </w:rPr>
      </w:pPr>
    </w:p>
    <w:p>
      <w:pPr>
        <w:ind w:left="2120" w:hanging="654"/>
        <w:spacing w:after="0"/>
        <w:tabs>
          <w:tab w:leader="none" w:pos="21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54" w:lineRule="exact"/>
        <w:rPr>
          <w:sz w:val="20"/>
          <w:szCs w:val="20"/>
          <w:color w:val="auto"/>
        </w:rPr>
      </w:pPr>
    </w:p>
    <w:p>
      <w:pPr>
        <w:ind w:left="2120" w:hanging="654"/>
        <w:spacing w:after="0"/>
        <w:tabs>
          <w:tab w:leader="none" w:pos="21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54"/>
        <w:spacing w:after="0"/>
        <w:tabs>
          <w:tab w:leader="none" w:pos="21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Modifier Determination</w:t>
      </w:r>
    </w:p>
    <w:p>
      <w:pPr>
        <w:spacing w:after="0" w:line="26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Performance Modifier will be based on the Company’s cumulative absolute total shareholder return (Cumulative Absolute TSR) over the Performance Period, or such shorter period as provided below in the event of a Change in Control.</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720" w:type="dxa"/>
            <w:vAlign w:val="bottom"/>
            <w:tcBorders>
              <w:top w:val="single" w:sz="8" w:color="auto"/>
              <w:left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Performance Level</w:t>
            </w:r>
          </w:p>
        </w:tc>
        <w:tc>
          <w:tcPr>
            <w:tcW w:w="4400" w:type="dxa"/>
            <w:vAlign w:val="bottom"/>
            <w:tcBorders>
              <w:top w:val="single" w:sz="8" w:color="auto"/>
              <w:right w:val="single" w:sz="8" w:color="auto"/>
            </w:tcBorders>
            <w:shd w:val="clear" w:color="auto" w:fill="B4C6E7"/>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Cumulative Absolute TSR for the Performance</w:t>
            </w:r>
          </w:p>
        </w:tc>
        <w:tc>
          <w:tcPr>
            <w:tcW w:w="4140" w:type="dxa"/>
            <w:vAlign w:val="bottom"/>
            <w:tcBorders>
              <w:top w:val="single" w:sz="8" w:color="auto"/>
              <w:right w:val="single" w:sz="8" w:color="auto"/>
            </w:tcBorders>
            <w:shd w:val="clear" w:color="auto" w:fill="B4C6E7"/>
          </w:tcPr>
          <w:p>
            <w:pPr>
              <w:ind w:left="760"/>
              <w:spacing w:after="0" w:line="203" w:lineRule="exact"/>
              <w:rPr>
                <w:sz w:val="20"/>
                <w:szCs w:val="20"/>
                <w:color w:val="auto"/>
              </w:rPr>
            </w:pPr>
            <w:r>
              <w:rPr>
                <w:rFonts w:ascii="Times New Roman" w:cs="Times New Roman" w:eastAsia="Times New Roman" w:hAnsi="Times New Roman"/>
                <w:sz w:val="20"/>
                <w:szCs w:val="20"/>
                <w:b w:val="1"/>
                <w:bCs w:val="1"/>
                <w:color w:val="auto"/>
              </w:rPr>
              <w:t>TSR Performance Modifier (1)</w:t>
            </w:r>
          </w:p>
        </w:tc>
      </w:tr>
      <w:tr>
        <w:trPr>
          <w:trHeight w:val="256"/>
        </w:trPr>
        <w:tc>
          <w:tcPr>
            <w:tcW w:w="2720" w:type="dxa"/>
            <w:vAlign w:val="bottom"/>
            <w:tcBorders>
              <w:left w:val="single" w:sz="8" w:color="auto"/>
              <w:bottom w:val="single" w:sz="8" w:color="auto"/>
              <w:right w:val="single" w:sz="8" w:color="auto"/>
            </w:tcBorders>
            <w:shd w:val="clear" w:color="auto" w:fill="B4C6E7"/>
          </w:tcPr>
          <w:p>
            <w:pPr>
              <w:spacing w:after="0"/>
              <w:rPr>
                <w:sz w:val="22"/>
                <w:szCs w:val="22"/>
                <w:color w:val="auto"/>
              </w:rPr>
            </w:pPr>
          </w:p>
        </w:tc>
        <w:tc>
          <w:tcPr>
            <w:tcW w:w="4400" w:type="dxa"/>
            <w:vAlign w:val="bottom"/>
            <w:tcBorders>
              <w:bottom w:val="single" w:sz="8" w:color="auto"/>
              <w:right w:val="single" w:sz="8" w:color="auto"/>
            </w:tcBorders>
            <w:shd w:val="clear" w:color="auto" w:fill="B4C6E7"/>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Period (1)</w:t>
            </w:r>
          </w:p>
        </w:tc>
        <w:tc>
          <w:tcPr>
            <w:tcW w:w="4140" w:type="dxa"/>
            <w:vAlign w:val="bottom"/>
            <w:tcBorders>
              <w:bottom w:val="single" w:sz="8" w:color="auto"/>
              <w:right w:val="single" w:sz="8" w:color="auto"/>
            </w:tcBorders>
            <w:shd w:val="clear" w:color="auto" w:fill="B4C6E7"/>
          </w:tcPr>
          <w:p>
            <w:pPr>
              <w:spacing w:after="0"/>
              <w:rPr>
                <w:sz w:val="22"/>
                <w:szCs w:val="22"/>
                <w:color w:val="auto"/>
              </w:rPr>
            </w:pP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Maximum</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Equal to or Greater Than 50%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Target</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Equal to 30%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Equal to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50%</w:t>
            </w:r>
          </w:p>
        </w:tc>
      </w:tr>
      <w:tr>
        <w:trPr>
          <w:trHeight w:val="250"/>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Below Threshold</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Less than 15%</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w:t>
            </w:r>
          </w:p>
        </w:tc>
      </w:tr>
    </w:tbl>
    <w:p>
      <w:pPr>
        <w:spacing w:after="0" w:line="58" w:lineRule="exact"/>
        <w:rPr>
          <w:sz w:val="20"/>
          <w:szCs w:val="20"/>
          <w:color w:val="auto"/>
        </w:rPr>
      </w:pPr>
    </w:p>
    <w:p>
      <w:pPr>
        <w:ind w:left="660" w:right="20" w:hanging="652"/>
        <w:spacing w:after="0" w:line="233"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achievement between Maximum, Target and Threshold performance levels, the TSR Performance Modifier will be determined based on straight-line interpolation between such integers.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Award Agreement, the following terms have the following meanings:</w:t>
      </w:r>
    </w:p>
    <w:p>
      <w:pPr>
        <w:spacing w:after="0" w:line="185"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Closing Price</w:t>
      </w:r>
      <w:r>
        <w:rPr>
          <w:rFonts w:ascii="Times New Roman" w:cs="Times New Roman" w:eastAsia="Times New Roman" w:hAnsi="Times New Roman"/>
          <w:sz w:val="20"/>
          <w:szCs w:val="20"/>
          <w:color w:val="auto"/>
        </w:rPr>
        <w:t xml:space="preserve">” means a price based on the Company’s highest average closing price for a Share for any consecutive 20-trading day period during the last calendar year of the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in the event of a Change in Control prior to the Vesting</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Date, the “Average Closing Price” will be equal to the per Share price to be paid to the stockholders of the Company in connection with the Change in Control.</w:t>
      </w:r>
    </w:p>
    <w:p>
      <w:pPr>
        <w:spacing w:after="0" w:line="14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Average Start Price</w:t>
      </w:r>
      <w:r>
        <w:rPr>
          <w:rFonts w:ascii="Times New Roman" w:cs="Times New Roman" w:eastAsia="Times New Roman" w:hAnsi="Times New Roman"/>
          <w:sz w:val="20"/>
          <w:szCs w:val="20"/>
          <w:color w:val="auto"/>
        </w:rPr>
        <w:t>” means a price calculated as the Company’s average closing price for a Share for the 20 trading days prior to and ending on the Date of Grant.</w:t>
      </w:r>
    </w:p>
    <w:p>
      <w:pPr>
        <w:spacing w:after="0" w:line="15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Cumulative Absolute TSR</w:t>
      </w:r>
      <w:r>
        <w:rPr>
          <w:rFonts w:ascii="Times New Roman" w:cs="Times New Roman" w:eastAsia="Times New Roman" w:hAnsi="Times New Roman"/>
          <w:sz w:val="19"/>
          <w:szCs w:val="19"/>
          <w:color w:val="auto"/>
        </w:rPr>
        <w:t>” means the percentage change in the cumulative (non-compounded) total return (expressed as a percentage) of an investment in the Company’s Shares for the Performance Period, determined using the Average Start Price to value the Company’s Shares</w:t>
      </w:r>
    </w:p>
    <w:p>
      <w:pPr>
        <w:spacing w:after="0" w:line="223" w:lineRule="auto"/>
        <w:rPr>
          <w:sz w:val="20"/>
          <w:szCs w:val="20"/>
          <w:color w:val="auto"/>
        </w:rPr>
      </w:pPr>
      <w:r>
        <w:rPr>
          <w:rFonts w:ascii="Times New Roman" w:cs="Times New Roman" w:eastAsia="Times New Roman" w:hAnsi="Times New Roman"/>
          <w:sz w:val="19"/>
          <w:szCs w:val="19"/>
          <w:color w:val="auto"/>
        </w:rPr>
        <w:t>at the start of the Performance Period and the Average Closing Price to value the Company’s Shares at the end of the Performance Period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the time of a Change in Control, as applicable). In calculating the Cumulative Absolute TSR, all dividends paid during the Performance Period are assumed to have been reinvested in Shares on the ex-dividend date based on the closing price, with the resulting number of Shares</w:t>
      </w:r>
    </w:p>
    <w:p>
      <w:pPr>
        <w:ind w:right="20"/>
        <w:spacing w:after="0" w:line="228" w:lineRule="auto"/>
        <w:rPr>
          <w:sz w:val="20"/>
          <w:szCs w:val="20"/>
          <w:color w:val="auto"/>
        </w:rPr>
      </w:pPr>
      <w:r>
        <w:rPr>
          <w:rFonts w:ascii="Times New Roman" w:cs="Times New Roman" w:eastAsia="Times New Roman" w:hAnsi="Times New Roman"/>
          <w:sz w:val="20"/>
          <w:szCs w:val="20"/>
          <w:color w:val="auto"/>
        </w:rPr>
        <w:t>ultimately valued in calculating the Cumulative Absolute TSR based on the Average Closing Price. For the sake of clarity, the Cumulative Absolute TSR will be calculated as follows:</w:t>
      </w:r>
    </w:p>
    <w:p>
      <w:pPr>
        <w:spacing w:after="0" w:line="149" w:lineRule="exact"/>
        <w:rPr>
          <w:sz w:val="20"/>
          <w:szCs w:val="20"/>
          <w:color w:val="auto"/>
        </w:rPr>
      </w:pPr>
    </w:p>
    <w:p>
      <w:pPr>
        <w:jc w:val="both"/>
        <w:ind w:left="660" w:right="20"/>
        <w:spacing w:after="0" w:line="230" w:lineRule="auto"/>
        <w:rPr>
          <w:sz w:val="20"/>
          <w:szCs w:val="20"/>
          <w:color w:val="auto"/>
        </w:rPr>
      </w:pPr>
      <w:r>
        <w:rPr>
          <w:rFonts w:ascii="Times New Roman" w:cs="Times New Roman" w:eastAsia="Times New Roman" w:hAnsi="Times New Roman"/>
          <w:sz w:val="20"/>
          <w:szCs w:val="20"/>
          <w:color w:val="auto"/>
        </w:rPr>
        <w:t>Cumulative Absolute TSR = (a) divided by (b), expressed as a percentage, where (a) is the Average Closing Price - Average Start Price + sum of all dividends paid during Performance Period (assuming reinvestment as described above), and (b) is the Average Start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60"/>
          </w:cols>
          <w:pgMar w:left="320" w:top="1404" w:right="319" w:bottom="1440" w:gutter="0" w:footer="0" w:header="0"/>
        </w:sectPr>
      </w:pPr>
    </w:p>
    <w:bookmarkStart w:id="81" w:name="page82"/>
    <w:bookmarkEnd w:id="81"/>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Tradeweb Markets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 Delaware corporation, hereby grants to the Grantee set forth below (the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an Award of Performance Restricted Stock Units (the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pursuant to the terms and conditions of this Notice of Grant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the PRSU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and the Tradeweb Markets Inc. 2019 Omnibus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Capitalized terms used but not defined herein shall have the meaning attributed to such terms in the Award Agreement or, if not defined therein, in the Plan, unless the context requires otherwise. Each PRSU, to the extent earned and vested pursuant to the terms set forth in the Award Agreement, represents the right to receive one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Share at the time and in the manner set forth in Section 5 of the Award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9601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3"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Name of Grantee:</w:t>
      </w:r>
      <w:r>
        <w:rPr>
          <w:sz w:val="20"/>
          <w:szCs w:val="20"/>
          <w:color w:val="auto"/>
        </w:rPr>
        <w:tab/>
      </w:r>
      <w:r>
        <w:rPr>
          <w:rFonts w:ascii="Times New Roman" w:cs="Times New Roman" w:eastAsia="Times New Roman" w:hAnsi="Times New Roman"/>
          <w:sz w:val="21"/>
          <w:szCs w:val="21"/>
          <w:color w:val="auto"/>
        </w:rPr>
        <w:t>William Hult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-11430</wp:posOffset>
            </wp:positionV>
            <wp:extent cx="9601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-11430</wp:posOffset>
            </wp:positionV>
            <wp:extent cx="9601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32285812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____________________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ectPr>
          <w:pgSz w:w="11900" w:h="16838" w:orient="portrait"/>
          <w:cols w:equalWidth="0" w:num="1">
            <w:col w:w="10360"/>
          </w:cols>
          <w:pgMar w:left="980" w:top="1440" w:right="559" w:bottom="1440" w:gutter="0" w:footer="0" w:header="0"/>
          <w:type w:val="continuous"/>
        </w:sectPr>
      </w:pPr>
    </w:p>
    <w:bookmarkStart w:id="83" w:name="page84"/>
    <w:bookmarkEnd w:id="83"/>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2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THIS PRSU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8" w:lineRule="exact"/>
        <w:rPr>
          <w:sz w:val="20"/>
          <w:szCs w:val="20"/>
          <w:color w:val="auto"/>
        </w:rPr>
      </w:pPr>
    </w:p>
    <w:p>
      <w:pPr>
        <w:ind w:left="2120" w:hanging="816"/>
        <w:spacing w:after="0"/>
        <w:tabs>
          <w:tab w:leader="none" w:pos="21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77" w:lineRule="exact"/>
        <w:rPr>
          <w:sz w:val="20"/>
          <w:szCs w:val="20"/>
          <w:color w:val="auto"/>
        </w:rPr>
      </w:pPr>
    </w:p>
    <w:p>
      <w:pPr>
        <w:ind w:left="2120" w:hanging="816"/>
        <w:spacing w:after="0"/>
        <w:tabs>
          <w:tab w:leader="none" w:pos="21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PRSUs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73" w:lineRule="exact"/>
        <w:rPr>
          <w:sz w:val="20"/>
          <w:szCs w:val="20"/>
          <w:color w:val="auto"/>
        </w:rPr>
      </w:pPr>
    </w:p>
    <w:p>
      <w:pPr>
        <w:ind w:left="2120" w:hanging="816"/>
        <w:spacing w:after="0"/>
        <w:tabs>
          <w:tab w:leader="none" w:pos="21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PRSUs</w:t>
      </w:r>
    </w:p>
    <w:p>
      <w:pPr>
        <w:spacing w:after="0" w:line="210" w:lineRule="exact"/>
        <w:rPr>
          <w:sz w:val="20"/>
          <w:szCs w:val="20"/>
          <w:color w:val="auto"/>
        </w:rPr>
      </w:pPr>
    </w:p>
    <w:p>
      <w:pPr>
        <w:jc w:val="both"/>
        <w:ind w:firstLine="1304"/>
        <w:spacing w:after="0" w:line="212"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Vesting Date. In the event of a Change in Control or the Grantee’s Retirement prior to the Vesting Date, the Award will be fully vested on the date of the Change in Control or date of Retirement, as applicable. For the sake of clarity, this accelerated vesting (other than in the case of a Qualified Change in Control as described in Section 5(b) below) shall not change the Settlement Date as set forth in Section 5(b) below.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(other than on account of Retirement), no amounts will be payable hereunder.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Resignation for Good Reason; Death or Disability</w:t>
      </w:r>
      <w:r>
        <w:rPr>
          <w:rFonts w:ascii="Times New Roman" w:cs="Times New Roman" w:eastAsia="Times New Roman" w:hAnsi="Times New Roman"/>
          <w:sz w:val="21"/>
          <w:szCs w:val="21"/>
          <w:color w:val="auto"/>
        </w:rPr>
        <w:t>. If the Grantee is Terminated (i) by the Company without Cause, (ii) as a result of the Company’s nonrenewal of the Term (as defined in his employment agreement), (iii) on account of the Grantee’s death or Disability, or (iv) as a result of the Grantee’s resignation for Good Reason (as defined in his employment agreement), prior to the Vesting Date, the Grantee or the Grantee’s estate will be entitled to retain a pro rated portion of the Award, which shall remain eligible for settlement in accordance with Section 5 below (including application of any “Performance Modifier,” as defined below). For purposes of the foregoing, the pro rated portion</w:t>
      </w:r>
    </w:p>
    <w:p>
      <w:pPr>
        <w:sectPr>
          <w:pgSz w:w="11900" w:h="16838" w:orient="portrait"/>
          <w:cols w:equalWidth="0" w:num="1">
            <w:col w:w="11240"/>
          </w:cols>
          <w:pgMar w:left="320" w:top="1440" w:right="339" w:bottom="1440" w:gutter="0" w:footer="0" w:header="0"/>
        </w:sectPr>
      </w:pPr>
    </w:p>
    <w:bookmarkStart w:id="84" w:name="page85"/>
    <w:bookmarkEnd w:id="84"/>
    <w:p>
      <w:pPr>
        <w:jc w:val="both"/>
        <w:spacing w:after="0" w:line="217" w:lineRule="auto"/>
        <w:rPr>
          <w:sz w:val="20"/>
          <w:szCs w:val="20"/>
          <w:color w:val="auto"/>
        </w:rPr>
      </w:pPr>
      <w:r>
        <w:rPr>
          <w:rFonts w:ascii="Times New Roman" w:cs="Times New Roman" w:eastAsia="Times New Roman" w:hAnsi="Times New Roman"/>
          <w:sz w:val="22"/>
          <w:szCs w:val="22"/>
          <w:color w:val="auto"/>
        </w:rPr>
        <w:t>of the Award that the Grantee or the Grantee’s estate shall be entitled to retain shall be calculated by multiplying the total number of Target PRSUs awarded hereunder by a fraction, the numerator of which is the number of days from January 1, 2023 to the date of Termination, death or Disability, as applicable and the denominator of which is the total number of days in the normal vesting period (i.e., the number of days between January 1, 2023 and January 1, 2026), which amount thereafter will represent the Grantee’s Target PRSUs under this Award Agreement.</w:t>
      </w:r>
    </w:p>
    <w:p>
      <w:pPr>
        <w:spacing w:after="0" w:line="152" w:lineRule="exact"/>
        <w:rPr>
          <w:sz w:val="20"/>
          <w:szCs w:val="20"/>
          <w:color w:val="auto"/>
        </w:rPr>
      </w:pPr>
    </w:p>
    <w:p>
      <w:pPr>
        <w:jc w:val="both"/>
        <w:ind w:firstLine="1304"/>
        <w:spacing w:after="0" w:line="211"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a Grantee is Terminated by the Company for Cause at any time prior to the Settlement Date, the Grantee shall forfeit all rights hereunder (including with respect to Earned PSUs and any associated dividend equivalent rights). In addition</w:t>
      </w:r>
      <w:r>
        <w:rPr>
          <w:rFonts w:ascii="Times New Roman" w:cs="Times New Roman" w:eastAsia="Times New Roman" w:hAnsi="Times New Roman"/>
          <w:sz w:val="23"/>
          <w:szCs w:val="23"/>
          <w:color w:val="auto"/>
        </w:rPr>
        <w:t>, i</w:t>
      </w:r>
      <w:r>
        <w:rPr>
          <w:rFonts w:ascii="Times New Roman" w:cs="Times New Roman" w:eastAsia="Times New Roman" w:hAnsi="Times New Roman"/>
          <w:sz w:val="22"/>
          <w:szCs w:val="22"/>
          <w:color w:val="auto"/>
        </w:rPr>
        <w:t>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51" w:lineRule="exact"/>
        <w:rPr>
          <w:sz w:val="20"/>
          <w:szCs w:val="20"/>
          <w:color w:val="auto"/>
        </w:rPr>
      </w:pPr>
    </w:p>
    <w:p>
      <w:pPr>
        <w:ind w:left="2120" w:hanging="816"/>
        <w:spacing w:after="0"/>
        <w:tabs>
          <w:tab w:leader="none" w:pos="21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PRSUs granted hereunder in respect of any dividends paid on Shares (on a one Share to one PRSU basis) from January 1, 2023 through the Settlement Date (as defined below). To the extent the Target PRSUs that gave rise to any dividend equivalent rights are forfeited pursuant to this Award or the Plan, those dividend equivalent rights will also be forfeited. The aggregate dollar amount of dividend equivalent rights accumulated under this Section 4 in respect of the Target PRSUs and not forfeited shall be added to, and be settled on the Settlement Date.</w:t>
      </w:r>
    </w:p>
    <w:p>
      <w:pPr>
        <w:spacing w:after="0" w:line="175" w:lineRule="exact"/>
        <w:rPr>
          <w:sz w:val="20"/>
          <w:szCs w:val="20"/>
          <w:color w:val="auto"/>
        </w:rPr>
      </w:pPr>
    </w:p>
    <w:p>
      <w:pPr>
        <w:ind w:left="2120" w:hanging="816"/>
        <w:spacing w:after="0"/>
        <w:tabs>
          <w:tab w:leader="none" w:pos="21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PRSUs</w:t>
      </w:r>
    </w:p>
    <w:p>
      <w:pPr>
        <w:spacing w:after="0" w:line="210" w:lineRule="exact"/>
        <w:rPr>
          <w:sz w:val="20"/>
          <w:szCs w:val="20"/>
          <w:color w:val="auto"/>
        </w:rPr>
      </w:pPr>
    </w:p>
    <w:p>
      <w:pPr>
        <w:jc w:val="both"/>
        <w:ind w:firstLine="1304"/>
        <w:spacing w:after="0" w:line="219" w:lineRule="auto"/>
        <w:tabs>
          <w:tab w:leader="none" w:pos="194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PRSUs and related dividend equivalent rights. The “</w:t>
      </w:r>
      <w:r>
        <w:rPr>
          <w:rFonts w:ascii="Times New Roman" w:cs="Times New Roman" w:eastAsia="Times New Roman" w:hAnsi="Times New Roman"/>
          <w:sz w:val="21"/>
          <w:szCs w:val="21"/>
          <w:u w:val="single" w:color="auto"/>
          <w:color w:val="auto"/>
        </w:rPr>
        <w:t>Settlement Number</w:t>
      </w:r>
      <w:r>
        <w:rPr>
          <w:rFonts w:ascii="Times New Roman" w:cs="Times New Roman" w:eastAsia="Times New Roman" w:hAnsi="Times New Roman"/>
          <w:sz w:val="21"/>
          <w:szCs w:val="21"/>
          <w:color w:val="auto"/>
        </w:rPr>
        <w:t>” is equal to the sum of (i) the number of Shares that are equal to the product of the number of Target PRSUs multiplied by the Performance Modifier (the “</w:t>
      </w:r>
      <w:r>
        <w:rPr>
          <w:rFonts w:ascii="Times New Roman" w:cs="Times New Roman" w:eastAsia="Times New Roman" w:hAnsi="Times New Roman"/>
          <w:sz w:val="21"/>
          <w:szCs w:val="21"/>
          <w:u w:val="single" w:color="auto"/>
          <w:color w:val="auto"/>
        </w:rPr>
        <w:t>Earned PRSUs</w:t>
      </w:r>
      <w:r>
        <w:rPr>
          <w:rFonts w:ascii="Times New Roman" w:cs="Times New Roman" w:eastAsia="Times New Roman" w:hAnsi="Times New Roman"/>
          <w:sz w:val="21"/>
          <w:szCs w:val="21"/>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1"/>
          <w:szCs w:val="21"/>
          <w:u w:val="single" w:color="auto"/>
          <w:color w:val="auto"/>
        </w:rPr>
        <w:t>Performance Modifier</w:t>
      </w:r>
      <w:r>
        <w:rPr>
          <w:rFonts w:ascii="Times New Roman" w:cs="Times New Roman" w:eastAsia="Times New Roman" w:hAnsi="Times New Roman"/>
          <w:sz w:val="21"/>
          <w:szCs w:val="21"/>
          <w:color w:val="auto"/>
        </w:rPr>
        <w:t xml:space="preserve">” means that certain percentage range established by the Board prior to the Date of Grant, to be based on performance metrics approved by the Board and applicable to the calendar year in which the Date of Grant occurs, the achievement of which is confirmed by the Board in the calendar year following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Change in Control occurs prior to the confirmation by the Board of the achievement of the Performance Modifier, the Performance Modifier shall be 100%. Any of the Target PRSUs that are not determined to be Earned PRSUs will be automatically forfeited, terminated and cancelled effective as of the Settlement Date without payment of any consideration by the Company, and the Grantee will have no further rights with respect to such unearned Target PSUs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85" w:name="page86"/>
    <w:bookmarkEnd w:id="85"/>
    <w:p>
      <w:pPr>
        <w:jc w:val="both"/>
        <w:ind w:firstLine="1304"/>
        <w:spacing w:after="0" w:line="212"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described in this Section 5 shall occur on the Settlement Date. For purposes of this Award Agreement,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means January 2, 2026;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“Qualified Change in Control” (as defined below) occurs prior to such date, settlement of the Earned PRSUs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2"/>
          <w:szCs w:val="22"/>
          <w:u w:val="single" w:color="auto"/>
          <w:color w:val="auto"/>
        </w:rPr>
        <w:t>Qualified Change in Control</w:t>
      </w:r>
      <w:r>
        <w:rPr>
          <w:rFonts w:ascii="Times New Roman" w:cs="Times New Roman" w:eastAsia="Times New Roman" w:hAnsi="Times New Roman"/>
          <w:sz w:val="22"/>
          <w:szCs w:val="22"/>
          <w:color w:val="auto"/>
        </w:rPr>
        <w:t>” is a Change in Control that also constitutes a change of ownership or effective control of, or in the ownership of a substantial portion of the assets of, the Company for purposes of Code Section 409A.</w:t>
      </w:r>
    </w:p>
    <w:p>
      <w:pPr>
        <w:spacing w:after="0" w:line="152"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75" w:lineRule="exact"/>
        <w:rPr>
          <w:sz w:val="20"/>
          <w:szCs w:val="20"/>
          <w:color w:val="auto"/>
        </w:rPr>
      </w:pPr>
    </w:p>
    <w:p>
      <w:pPr>
        <w:ind w:left="2120" w:hanging="654"/>
        <w:spacing w:after="0"/>
        <w:tabs>
          <w:tab w:leader="none" w:pos="2120" w:val="left"/>
        </w:tabs>
        <w:numPr>
          <w:ilvl w:val="2"/>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9"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Terminate PRSUs and Recovery</w:t>
      </w:r>
      <w:r>
        <w:rPr>
          <w:rFonts w:ascii="Times New Roman" w:cs="Times New Roman" w:eastAsia="Times New Roman" w:hAnsi="Times New Roman"/>
          <w:sz w:val="21"/>
          <w:szCs w:val="21"/>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w:t>
      </w:r>
    </w:p>
    <w:p>
      <w:pPr>
        <w:spacing w:after="0" w:line="1" w:lineRule="exact"/>
        <w:rPr>
          <w:rFonts w:ascii="Times New Roman" w:cs="Times New Roman" w:eastAsia="Times New Roman" w:hAnsi="Times New Roman"/>
          <w:sz w:val="21"/>
          <w:szCs w:val="21"/>
          <w:color w:val="auto"/>
        </w:rPr>
      </w:pPr>
    </w:p>
    <w:p>
      <w:pPr>
        <w:jc w:val="both"/>
        <w:ind w:firstLine="8"/>
        <w:spacing w:after="0" w:line="210" w:lineRule="auto"/>
        <w:tabs>
          <w:tab w:leader="none" w:pos="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or violates the Grantee’s obligations under any Restrictive Agreement to which the Grantee is a party, or (b) the Grantee engages in any activity prohibited by this Section 7 of this Award Agreement, or (c)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18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2"/>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shareholder of record on the books of the Company following delivery of the Shares in settlement of the Award.</w:t>
      </w:r>
    </w:p>
    <w:p>
      <w:pPr>
        <w:spacing w:after="0" w:line="216" w:lineRule="exact"/>
        <w:rPr>
          <w:sz w:val="20"/>
          <w:szCs w:val="20"/>
          <w:color w:val="auto"/>
        </w:rPr>
      </w:pPr>
    </w:p>
    <w:p>
      <w:pPr>
        <w:ind w:left="2120" w:hanging="654"/>
        <w:spacing w:after="0"/>
        <w:tabs>
          <w:tab w:leader="none" w:pos="21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Board to satisfy all obligations for the payment of such withholding taxes.</w:t>
      </w:r>
    </w:p>
    <w:p>
      <w:pPr>
        <w:spacing w:after="0" w:line="175" w:lineRule="exact"/>
        <w:rPr>
          <w:sz w:val="20"/>
          <w:szCs w:val="20"/>
          <w:color w:val="auto"/>
        </w:rPr>
      </w:pPr>
    </w:p>
    <w:p>
      <w:pPr>
        <w:ind w:left="2120" w:hanging="654"/>
        <w:spacing w:after="0"/>
        <w:tabs>
          <w:tab w:leader="none" w:pos="21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this Award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190" w:lineRule="exact"/>
        <w:rPr>
          <w:sz w:val="20"/>
          <w:szCs w:val="20"/>
          <w:color w:val="auto"/>
        </w:rPr>
      </w:pPr>
    </w:p>
    <w:p>
      <w:pPr>
        <w:ind w:left="2100" w:hanging="634"/>
        <w:spacing w:after="0"/>
        <w:tabs>
          <w:tab w:leader="none" w:pos="210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PRSUs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82" w:lineRule="exact"/>
        <w:rPr>
          <w:sz w:val="20"/>
          <w:szCs w:val="20"/>
          <w:color w:val="auto"/>
        </w:rPr>
      </w:pPr>
    </w:p>
    <w:p>
      <w:pPr>
        <w:ind w:left="2120" w:hanging="654"/>
        <w:spacing w:after="0"/>
        <w:tabs>
          <w:tab w:leader="none" w:pos="21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w:t>
      </w:r>
    </w:p>
    <w:p>
      <w:pPr>
        <w:spacing w:after="0" w:line="3" w:lineRule="exact"/>
        <w:rPr>
          <w:sz w:val="20"/>
          <w:szCs w:val="20"/>
          <w:color w:val="auto"/>
        </w:rPr>
      </w:pPr>
    </w:p>
    <w:p>
      <w:pPr>
        <w:jc w:val="both"/>
        <w:ind w:firstLine="8"/>
        <w:spacing w:after="0" w:line="239" w:lineRule="auto"/>
        <w:tabs>
          <w:tab w:leader="none" w:pos="31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87" w:name="page88"/>
    <w:bookmarkEnd w:id="87"/>
    <w:p>
      <w:pPr>
        <w:ind w:left="1940" w:hanging="636"/>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19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ind w:left="1960" w:right="6720"/>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ind w:left="19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ind w:left="1940" w:hanging="636"/>
        <w:spacing w:after="0"/>
        <w:tabs>
          <w:tab w:leader="none" w:pos="19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178"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10" w:lineRule="exact"/>
        <w:rPr>
          <w:sz w:val="20"/>
          <w:szCs w:val="20"/>
          <w:color w:val="auto"/>
        </w:rPr>
      </w:pPr>
    </w:p>
    <w:p>
      <w:pPr>
        <w:jc w:val="both"/>
        <w:ind w:firstLine="1304"/>
        <w:spacing w:after="0" w:line="215"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3" w:lineRule="exact"/>
        <w:rPr>
          <w:sz w:val="20"/>
          <w:szCs w:val="20"/>
          <w:color w:val="auto"/>
        </w:rPr>
      </w:pPr>
    </w:p>
    <w:p>
      <w:pPr>
        <w:ind w:left="2120" w:hanging="654"/>
        <w:spacing w:after="0"/>
        <w:tabs>
          <w:tab w:leader="none" w:pos="212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88" w:name="page89"/>
    <w:bookmarkEnd w:id="88"/>
    <w:p>
      <w:pPr>
        <w:ind w:left="2120" w:hanging="654"/>
        <w:spacing w:after="0"/>
        <w:tabs>
          <w:tab w:leader="none" w:pos="21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87" w:lineRule="exact"/>
        <w:rPr>
          <w:sz w:val="20"/>
          <w:szCs w:val="20"/>
          <w:color w:val="auto"/>
        </w:rPr>
      </w:pPr>
    </w:p>
    <w:p>
      <w:pPr>
        <w:ind w:left="2120" w:hanging="654"/>
        <w:spacing w:after="0"/>
        <w:tabs>
          <w:tab w:leader="none" w:pos="212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81" w:lineRule="exact"/>
        <w:rPr>
          <w:sz w:val="20"/>
          <w:szCs w:val="20"/>
          <w:color w:val="auto"/>
        </w:rPr>
      </w:pPr>
    </w:p>
    <w:p>
      <w:pPr>
        <w:ind w:left="2120" w:hanging="654"/>
        <w:spacing w:after="0"/>
        <w:tabs>
          <w:tab w:leader="none" w:pos="21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54"/>
        <w:spacing w:after="0"/>
        <w:tabs>
          <w:tab w:leader="none" w:pos="21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89" w:name="page90"/>
    <w:bookmarkEnd w:id="89"/>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 NOTICE OF GRANT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Tradeweb Markets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 Delaware corporation, hereby grants to the Grantee set forth below (the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an Award of Performance Restricted Stock Units (the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pursuant to the terms and conditions of this Notice of Grant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the PRSU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and the Tradeweb Markets Inc. 2019 Omnibus Equity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Capitalized terms used but not defined herein shall have the meaning attributed to such terms in the Award Agreement or, if not defined therein, in the Plan, unless the context requires otherwise. Each PRSU, to the extent earned and vested pursuant to the terms set forth in the Award Agreement, represents the right to receive one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Share at the time and in the manner set forth in Section 5 of the Award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8229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-11430</wp:posOffset>
            </wp:positionV>
            <wp:extent cx="8229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-11430</wp:posOffset>
            </wp:positionV>
            <wp:extent cx="8229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1"/>
          <w:szCs w:val="21"/>
          <w:color w:val="auto"/>
        </w:rPr>
        <w:t>The Award shall vest pursuant to the terms and conditions set forth in Section 3 of the Award Agreement.</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The Award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440" w:right="559" w:bottom="1440" w:gutter="0" w:footer="0" w:header="0"/>
        </w:sectPr>
      </w:pPr>
    </w:p>
    <w:p>
      <w:pPr>
        <w:spacing w:after="0" w:line="2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200" w:lineRule="exact"/>
        <w:rPr>
          <w:sz w:val="20"/>
          <w:szCs w:val="20"/>
          <w:color w:val="auto"/>
        </w:rPr>
      </w:pPr>
    </w:p>
    <w:p>
      <w:pPr>
        <w:spacing w:after="0" w:line="3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-13970</wp:posOffset>
            </wp:positionV>
            <wp:extent cx="274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w:t>
      </w:r>
    </w:p>
    <w:p>
      <w:pPr>
        <w:ind w:left="324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0360"/>
          </w:cols>
          <w:pgMar w:left="980" w:top="1440" w:right="559" w:bottom="1440" w:gutter="0" w:footer="0" w:header="0"/>
          <w:type w:val="continuous"/>
        </w:sectPr>
      </w:pPr>
    </w:p>
    <w:bookmarkStart w:id="91" w:name="page92"/>
    <w:bookmarkEnd w:id="91"/>
    <w:p>
      <w:pPr>
        <w:spacing w:after="0" w:line="18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PRSU AWARD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2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THIS PRSU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between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Award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48" w:lineRule="exact"/>
        <w:rPr>
          <w:sz w:val="20"/>
          <w:szCs w:val="20"/>
          <w:color w:val="auto"/>
        </w:rPr>
      </w:pPr>
    </w:p>
    <w:p>
      <w:pPr>
        <w:ind w:left="2120" w:hanging="816"/>
        <w:spacing w:after="0"/>
        <w:tabs>
          <w:tab w:leader="none" w:pos="212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77" w:lineRule="exact"/>
        <w:rPr>
          <w:sz w:val="20"/>
          <w:szCs w:val="20"/>
          <w:color w:val="auto"/>
        </w:rPr>
      </w:pPr>
    </w:p>
    <w:p>
      <w:pPr>
        <w:ind w:left="2120" w:hanging="816"/>
        <w:spacing w:after="0"/>
        <w:tabs>
          <w:tab w:leader="none" w:pos="21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PRSUs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remain in effect until the Award has fully vested and been settled or been forfeited by the Grantee as provided in this Award Agreement.</w:t>
      </w:r>
    </w:p>
    <w:p>
      <w:pPr>
        <w:spacing w:after="0" w:line="173" w:lineRule="exact"/>
        <w:rPr>
          <w:sz w:val="20"/>
          <w:szCs w:val="20"/>
          <w:color w:val="auto"/>
        </w:rPr>
      </w:pPr>
    </w:p>
    <w:p>
      <w:pPr>
        <w:ind w:left="2120" w:hanging="816"/>
        <w:spacing w:after="0"/>
        <w:tabs>
          <w:tab w:leader="none" w:pos="212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PRSUs</w:t>
      </w:r>
    </w:p>
    <w:p>
      <w:pPr>
        <w:spacing w:after="0" w:line="210" w:lineRule="exact"/>
        <w:rPr>
          <w:sz w:val="20"/>
          <w:szCs w:val="20"/>
          <w:color w:val="auto"/>
        </w:rPr>
      </w:pPr>
    </w:p>
    <w:p>
      <w:pPr>
        <w:jc w:val="both"/>
        <w:ind w:firstLine="1304"/>
        <w:spacing w:after="0" w:line="212" w:lineRule="auto"/>
        <w:tabs>
          <w:tab w:leader="none" w:pos="19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Grantee’s not having Terminated, except as specifically provided herein or in the Plan, the Award granted hereunder will vest on the Vesting Date. In the event of a Change in Control or the Grantee’s Retirement prior to the Vesting Date, the Award will be fully vested on the date of the Change in Control or date of Retirement, as applicable. For the sake of clarity, this accelerated vesting (other than in the case of a Qualified Change in Control as described in Section 5(b) below) shall not change the Settlement Date as set forth in Section 5(b) below.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Except as set forth in Section 3(c) below, if the Grantee Terminates before the Vesting Date (other than on account of Retirement), no amounts will be payable hereunder.</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Death or Disability</w:t>
      </w:r>
      <w:r>
        <w:rPr>
          <w:rFonts w:ascii="Times New Roman" w:cs="Times New Roman" w:eastAsia="Times New Roman" w:hAnsi="Times New Roman"/>
          <w:sz w:val="22"/>
          <w:szCs w:val="22"/>
          <w:color w:val="auto"/>
        </w:rPr>
        <w:t>. If the Grantee is Terminated by the Company without Cause after the one year anniversary of the Date of Grant, or on account of his or her death or Disability, in each case prior to the Vesting Date, the Grantee or the Grantee’s estate will be entitled to retain a pro rated portion of the Award, which shall remain eligible for settlement in accordance with Section 5 below (including application of any “Performance Modifier,” as defined below). For purposes of the foregoing, the pro rated portion of the Award that the Grantee or the Grantee’s estate shall be entitled to retain shall be calculated by multiplying the total number of Target PRSUs awarded hereunder by a fraction, the</w:t>
      </w:r>
    </w:p>
    <w:p>
      <w:pPr>
        <w:sectPr>
          <w:pgSz w:w="11900" w:h="16838" w:orient="portrait"/>
          <w:cols w:equalWidth="0" w:num="1">
            <w:col w:w="11240"/>
          </w:cols>
          <w:pgMar w:left="320" w:top="1440" w:right="339" w:bottom="1440" w:gutter="0" w:footer="0" w:header="0"/>
        </w:sectPr>
      </w:pPr>
    </w:p>
    <w:bookmarkStart w:id="92" w:name="page93"/>
    <w:bookmarkEnd w:id="92"/>
    <w:p>
      <w:pPr>
        <w:jc w:val="both"/>
        <w:spacing w:after="0" w:line="236" w:lineRule="auto"/>
        <w:rPr>
          <w:sz w:val="20"/>
          <w:szCs w:val="20"/>
          <w:color w:val="auto"/>
        </w:rPr>
      </w:pPr>
      <w:r>
        <w:rPr>
          <w:rFonts w:ascii="Times New Roman" w:cs="Times New Roman" w:eastAsia="Times New Roman" w:hAnsi="Times New Roman"/>
          <w:sz w:val="21"/>
          <w:szCs w:val="21"/>
          <w:color w:val="auto"/>
        </w:rPr>
        <w:t>numerator of which is the number of days from January 1, 2023 to the date of Termination, death or Disability, as applicable and the denominator of which is the total number of days in the normal vesting period (i.e., the number of days between January 1, 2023 and January 1, 2026), which amount thereafter will represent the Grantee’s Target PRSUs under this Award Agreement.</w:t>
      </w:r>
    </w:p>
    <w:p>
      <w:pPr>
        <w:spacing w:after="0" w:line="152" w:lineRule="exact"/>
        <w:rPr>
          <w:sz w:val="20"/>
          <w:szCs w:val="20"/>
          <w:color w:val="auto"/>
        </w:rPr>
      </w:pPr>
    </w:p>
    <w:p>
      <w:pPr>
        <w:jc w:val="both"/>
        <w:ind w:firstLine="1304"/>
        <w:spacing w:after="0" w:line="215" w:lineRule="auto"/>
        <w:tabs>
          <w:tab w:leader="none" w:pos="193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herein, if a Grantee is Terminated by the Company for Cause at any time prior to the Settlement Date, the Grantee shall forfeit all rights hereunder (including with respect to Earned PSUs and any associated dividend equivalent rights).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w:t>
      </w:r>
    </w:p>
    <w:p>
      <w:pPr>
        <w:spacing w:after="0" w:line="148" w:lineRule="exact"/>
        <w:rPr>
          <w:sz w:val="20"/>
          <w:szCs w:val="20"/>
          <w:color w:val="auto"/>
        </w:rPr>
      </w:pPr>
    </w:p>
    <w:p>
      <w:pPr>
        <w:ind w:left="2120" w:hanging="816"/>
        <w:spacing w:after="0"/>
        <w:tabs>
          <w:tab w:leader="none" w:pos="212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Award will accumulate dividend equivalent rights with respect to the Target PRSUs granted hereunder in respect of any dividends paid on Shares (on a one Share to one PRSU basis) from January 1, 2023 through the Settlement Date (as defined below). To the extent the Target PRSUs that gave rise to any dividend equivalent rights are forfeited pursuant to this Award or the Plan, those dividend equivalent rights will also be forfeited. The aggregate dollar amount of dividend equivalent rights accumulated under this Section 4 in respect of the Target PRSUs and not forfeited shall be added to, and be settled on the Settlement Date.</w:t>
      </w:r>
    </w:p>
    <w:p>
      <w:pPr>
        <w:spacing w:after="0" w:line="175" w:lineRule="exact"/>
        <w:rPr>
          <w:sz w:val="20"/>
          <w:szCs w:val="20"/>
          <w:color w:val="auto"/>
        </w:rPr>
      </w:pPr>
    </w:p>
    <w:p>
      <w:pPr>
        <w:ind w:left="2120" w:hanging="816"/>
        <w:spacing w:after="0"/>
        <w:tabs>
          <w:tab w:leader="none" w:pos="21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PRSUs</w:t>
      </w:r>
    </w:p>
    <w:p>
      <w:pPr>
        <w:spacing w:after="0" w:line="210" w:lineRule="exact"/>
        <w:rPr>
          <w:sz w:val="20"/>
          <w:szCs w:val="20"/>
          <w:color w:val="auto"/>
        </w:rPr>
      </w:pPr>
    </w:p>
    <w:p>
      <w:pPr>
        <w:jc w:val="both"/>
        <w:ind w:firstLine="1304"/>
        <w:spacing w:after="0" w:line="219" w:lineRule="auto"/>
        <w:tabs>
          <w:tab w:leader="none" w:pos="194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Award shall entitle the Grantee to receive a number of Shares equal to the Settlement Number (as defined below), less (solely in the case of an employee of the Company or any Affiliate) a number of Shares having an aggregate Fair Market Value equal to the withholding and employment taxes associated with the settlement of the Earned PRSUs and related dividend equivalent rights. The “</w:t>
      </w:r>
      <w:r>
        <w:rPr>
          <w:rFonts w:ascii="Times New Roman" w:cs="Times New Roman" w:eastAsia="Times New Roman" w:hAnsi="Times New Roman"/>
          <w:sz w:val="21"/>
          <w:szCs w:val="21"/>
          <w:u w:val="single" w:color="auto"/>
          <w:color w:val="auto"/>
        </w:rPr>
        <w:t>Settlement Number</w:t>
      </w:r>
      <w:r>
        <w:rPr>
          <w:rFonts w:ascii="Times New Roman" w:cs="Times New Roman" w:eastAsia="Times New Roman" w:hAnsi="Times New Roman"/>
          <w:sz w:val="21"/>
          <w:szCs w:val="21"/>
          <w:color w:val="auto"/>
        </w:rPr>
        <w:t>” is equal to the sum of (i) the number of Shares that are equal to the product of the number of Target PRSUs multiplied by the Performance Modifier (the “</w:t>
      </w:r>
      <w:r>
        <w:rPr>
          <w:rFonts w:ascii="Times New Roman" w:cs="Times New Roman" w:eastAsia="Times New Roman" w:hAnsi="Times New Roman"/>
          <w:sz w:val="21"/>
          <w:szCs w:val="21"/>
          <w:u w:val="single" w:color="auto"/>
          <w:color w:val="auto"/>
        </w:rPr>
        <w:t>Earned PRSUs</w:t>
      </w:r>
      <w:r>
        <w:rPr>
          <w:rFonts w:ascii="Times New Roman" w:cs="Times New Roman" w:eastAsia="Times New Roman" w:hAnsi="Times New Roman"/>
          <w:sz w:val="21"/>
          <w:szCs w:val="21"/>
          <w:color w:val="auto"/>
        </w:rPr>
        <w:t>”) plus (ii) the number of Shares that results from the quotient of (a) the product of any dividend equivalent rights payable pursuant to Section 4 above multiplied by the Performance Modifier, divided by (b) the Fair Market Value as of the Settlement Date. As used in this Award Agreement, “</w:t>
      </w:r>
      <w:r>
        <w:rPr>
          <w:rFonts w:ascii="Times New Roman" w:cs="Times New Roman" w:eastAsia="Times New Roman" w:hAnsi="Times New Roman"/>
          <w:sz w:val="21"/>
          <w:szCs w:val="21"/>
          <w:u w:val="single" w:color="auto"/>
          <w:color w:val="auto"/>
        </w:rPr>
        <w:t>Performance Modifier</w:t>
      </w:r>
      <w:r>
        <w:rPr>
          <w:rFonts w:ascii="Times New Roman" w:cs="Times New Roman" w:eastAsia="Times New Roman" w:hAnsi="Times New Roman"/>
          <w:sz w:val="21"/>
          <w:szCs w:val="21"/>
          <w:color w:val="auto"/>
        </w:rPr>
        <w:t xml:space="preserve">” means that certain percentage range established by the Board prior to the Date of Grant, to be based on performance metrics approved by the Board and applicable to the calendar year in which the Date of Grant occurs, the achievement of which is confirmed by the Board in the calendar year following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Change in Control occurs prior to the confirmation by the Board of the achievement of the Performance Modifier, the Performance Modifier shall be 100%. Any of the Target PRSUs that are not determined to be Earned PRSUs will be automatically forfeited, terminated and cancelled effective as of the Settlement Date without payment of any consideration by the Company, and the Grantee will have no further rights with respect to such unearned Target PSUs under this Agreement.</w:t>
      </w:r>
    </w:p>
    <w:p>
      <w:pPr>
        <w:spacing w:after="0" w:line="155"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described in this Section 5 shall occur on the Settlement Date. For purposes of this Award Agreement,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means January 2, 2026;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“Qualified Change in Control” (as defined below) occurs prior to such date, settlement of the Earned PRSUs plus any accumulated dividend equivalent rights payable pursuant to Section 4 and calculated as a number of shares pursuant to Section 5, shall occur at the time(s) and in the same form of consideration as the consideration delivered to the Company’s stockholders in connection with such transaction, to the extent permitted by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93" w:name="page94"/>
    <w:bookmarkEnd w:id="93"/>
    <w:p>
      <w:pPr>
        <w:jc w:val="both"/>
        <w:spacing w:after="0" w:line="225" w:lineRule="auto"/>
        <w:rPr>
          <w:sz w:val="20"/>
          <w:szCs w:val="20"/>
          <w:color w:val="auto"/>
        </w:rPr>
      </w:pPr>
      <w:r>
        <w:rPr>
          <w:rFonts w:ascii="Times New Roman" w:cs="Times New Roman" w:eastAsia="Times New Roman" w:hAnsi="Times New Roman"/>
          <w:sz w:val="22"/>
          <w:szCs w:val="22"/>
          <w:color w:val="auto"/>
        </w:rPr>
        <w:t>Section 409A. For purposes of the foregoing, a “</w:t>
      </w:r>
      <w:r>
        <w:rPr>
          <w:rFonts w:ascii="Times New Roman" w:cs="Times New Roman" w:eastAsia="Times New Roman" w:hAnsi="Times New Roman"/>
          <w:sz w:val="22"/>
          <w:szCs w:val="22"/>
          <w:u w:val="single" w:color="auto"/>
          <w:color w:val="auto"/>
        </w:rPr>
        <w:t>Qualified Change in Control</w:t>
      </w:r>
      <w:r>
        <w:rPr>
          <w:rFonts w:ascii="Times New Roman" w:cs="Times New Roman" w:eastAsia="Times New Roman" w:hAnsi="Times New Roman"/>
          <w:sz w:val="22"/>
          <w:szCs w:val="22"/>
          <w:color w:val="auto"/>
        </w:rPr>
        <w:t>” is a Change in Control that also constitutes a change of ownership or effective control of, or in the ownership of a substantial portion of the assets of, the Company for purposes of Code Section 409A.</w:t>
      </w:r>
    </w:p>
    <w:p>
      <w:pPr>
        <w:spacing w:after="0" w:line="148" w:lineRule="exact"/>
        <w:rPr>
          <w:sz w:val="20"/>
          <w:szCs w:val="20"/>
          <w:color w:val="auto"/>
        </w:rPr>
      </w:pPr>
    </w:p>
    <w:p>
      <w:pPr>
        <w:ind w:left="2120" w:hanging="654"/>
        <w:spacing w:after="0"/>
        <w:tabs>
          <w:tab w:leader="none" w:pos="21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75" w:lineRule="exact"/>
        <w:rPr>
          <w:sz w:val="20"/>
          <w:szCs w:val="20"/>
          <w:color w:val="auto"/>
        </w:rPr>
      </w:pPr>
    </w:p>
    <w:p>
      <w:pPr>
        <w:ind w:left="2120" w:hanging="654"/>
        <w:spacing w:after="0"/>
        <w:tabs>
          <w:tab w:leader="none" w:pos="2120" w:val="left"/>
        </w:tabs>
        <w:numPr>
          <w:ilvl w:val="2"/>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this Award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portion of the Award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9"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Terminate PRSUs and Recovery</w:t>
      </w:r>
      <w:r>
        <w:rPr>
          <w:rFonts w:ascii="Times New Roman" w:cs="Times New Roman" w:eastAsia="Times New Roman" w:hAnsi="Times New Roman"/>
          <w:sz w:val="21"/>
          <w:szCs w:val="21"/>
          <w:color w:val="auto"/>
        </w:rPr>
        <w:t>. The Grantee understands and agrees that the Company has granted the Award to the Grantee to reward the Grantee for the Grantee’s future efforts and loyalty to the Company and its Affiliates by giving the Grantee the opportunity to participate in the potential future appreciation of the Company. Accordingly, if</w:t>
      </w:r>
    </w:p>
    <w:p>
      <w:pPr>
        <w:spacing w:after="0" w:line="1" w:lineRule="exact"/>
        <w:rPr>
          <w:rFonts w:ascii="Times New Roman" w:cs="Times New Roman" w:eastAsia="Times New Roman" w:hAnsi="Times New Roman"/>
          <w:sz w:val="21"/>
          <w:szCs w:val="21"/>
          <w:color w:val="auto"/>
        </w:rPr>
      </w:pPr>
    </w:p>
    <w:p>
      <w:pPr>
        <w:jc w:val="both"/>
        <w:ind w:firstLine="8"/>
        <w:spacing w:after="0" w:line="210" w:lineRule="auto"/>
        <w:tabs>
          <w:tab w:leader="none" w:pos="2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or violates the Grantee’s obligations under any Restrictive Agreement to which the Grantee is a party, or (b) the Grantee engages in any activity prohibited by this Section 7 of this Award Agreement, or (c) the Grantee is convicted of a felony against the Company or any of its Affiliates, then, in addition to any other rights and remedies available to the Company, the Company shall be entitled, at its option, exercisable by written notice, to terminate the Award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18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2"/>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Award until the effective date of issuance of the Shares and the entry of the Grantee’s name as a shareholder of record on the books of the Company following delivery of the Shares in settlement of the Award.</w:t>
      </w:r>
    </w:p>
    <w:p>
      <w:pPr>
        <w:spacing w:after="0" w:line="177" w:lineRule="exact"/>
        <w:rPr>
          <w:sz w:val="20"/>
          <w:szCs w:val="20"/>
          <w:color w:val="auto"/>
        </w:rPr>
      </w:pPr>
    </w:p>
    <w:p>
      <w:pPr>
        <w:ind w:left="2120" w:hanging="654"/>
        <w:spacing w:after="0"/>
        <w:tabs>
          <w:tab w:leader="none" w:pos="21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20" w:lineRule="auto"/>
        <w:rPr>
          <w:sz w:val="20"/>
          <w:szCs w:val="20"/>
          <w:color w:val="auto"/>
        </w:rPr>
      </w:pPr>
      <w:r>
        <w:rPr>
          <w:rFonts w:ascii="Times New Roman" w:cs="Times New Roman" w:eastAsia="Times New Roman" w:hAnsi="Times New Roman"/>
          <w:sz w:val="22"/>
          <w:szCs w:val="22"/>
          <w:color w:val="auto"/>
        </w:rPr>
        <w:t>provision of any amounts or benefits hereunder. The Company shall have the right and is hereby authorized to withhold, any applicable withholding taxes in respect of the Award, or any payment or transfer under, or with respect to, the Award and to take such other action as may be necessary in the reasonable opinion of the Board to satisfy all obligations for the payment of such withholding taxes.</w:t>
      </w:r>
    </w:p>
    <w:p>
      <w:pPr>
        <w:spacing w:after="0" w:line="175" w:lineRule="exact"/>
        <w:rPr>
          <w:sz w:val="20"/>
          <w:szCs w:val="20"/>
          <w:color w:val="auto"/>
        </w:rPr>
      </w:pPr>
    </w:p>
    <w:p>
      <w:pPr>
        <w:ind w:left="2120" w:hanging="654"/>
        <w:spacing w:after="0"/>
        <w:tabs>
          <w:tab w:leader="none" w:pos="21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this Award,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this Award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this Award.</w:t>
      </w:r>
    </w:p>
    <w:p>
      <w:pPr>
        <w:spacing w:after="0" w:line="209" w:lineRule="exact"/>
        <w:rPr>
          <w:sz w:val="20"/>
          <w:szCs w:val="20"/>
          <w:color w:val="auto"/>
        </w:rPr>
      </w:pPr>
    </w:p>
    <w:p>
      <w:pPr>
        <w:ind w:left="2100" w:hanging="634"/>
        <w:spacing w:after="0"/>
        <w:tabs>
          <w:tab w:leader="none" w:pos="210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PRSUs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82" w:lineRule="exact"/>
        <w:rPr>
          <w:sz w:val="20"/>
          <w:szCs w:val="20"/>
          <w:color w:val="auto"/>
        </w:rPr>
      </w:pPr>
    </w:p>
    <w:p>
      <w:pPr>
        <w:ind w:left="2120" w:hanging="654"/>
        <w:spacing w:after="0"/>
        <w:tabs>
          <w:tab w:leader="none" w:pos="21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w:t>
      </w:r>
    </w:p>
    <w:p>
      <w:pPr>
        <w:spacing w:after="0" w:line="3" w:lineRule="exact"/>
        <w:rPr>
          <w:sz w:val="20"/>
          <w:szCs w:val="20"/>
          <w:color w:val="auto"/>
        </w:rPr>
      </w:pPr>
    </w:p>
    <w:p>
      <w:pPr>
        <w:jc w:val="both"/>
        <w:ind w:firstLine="8"/>
        <w:spacing w:after="0" w:line="230" w:lineRule="auto"/>
        <w:tabs>
          <w:tab w:leader="none" w:pos="31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16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ind w:left="1960" w:right="6720"/>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95" w:name="page96"/>
    <w:bookmarkEnd w:id="95"/>
    <w:p>
      <w:pPr>
        <w:ind w:left="1940" w:hanging="636"/>
        <w:spacing w:after="0"/>
        <w:tabs>
          <w:tab w:leader="none" w:pos="19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202"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10" w:lineRule="exact"/>
        <w:rPr>
          <w:sz w:val="20"/>
          <w:szCs w:val="20"/>
          <w:color w:val="auto"/>
        </w:rPr>
      </w:pPr>
    </w:p>
    <w:p>
      <w:pPr>
        <w:jc w:val="both"/>
        <w:ind w:firstLine="1304"/>
        <w:spacing w:after="0" w:line="215"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Award is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3" w:lineRule="exact"/>
        <w:rPr>
          <w:sz w:val="20"/>
          <w:szCs w:val="20"/>
          <w:color w:val="auto"/>
        </w:rPr>
      </w:pPr>
    </w:p>
    <w:p>
      <w:pPr>
        <w:ind w:left="2120" w:hanging="654"/>
        <w:spacing w:after="0"/>
        <w:tabs>
          <w:tab w:leader="none" w:pos="21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1" w:lineRule="exact"/>
        <w:rPr>
          <w:sz w:val="20"/>
          <w:szCs w:val="20"/>
          <w:color w:val="auto"/>
        </w:rPr>
      </w:pPr>
    </w:p>
    <w:p>
      <w:pPr>
        <w:ind w:left="2120" w:hanging="654"/>
        <w:spacing w:after="0"/>
        <w:tabs>
          <w:tab w:leader="none" w:pos="21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50" w:lineRule="auto"/>
        <w:rPr>
          <w:sz w:val="20"/>
          <w:szCs w:val="20"/>
          <w:color w:val="auto"/>
        </w:rPr>
      </w:pPr>
      <w:r>
        <w:rPr>
          <w:rFonts w:ascii="Times New Roman" w:cs="Times New Roman" w:eastAsia="Times New Roman" w:hAnsi="Times New Roman"/>
          <w:sz w:val="22"/>
          <w:szCs w:val="22"/>
          <w:color w:val="auto"/>
        </w:rPr>
        <w:t>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77" w:lineRule="exact"/>
        <w:rPr>
          <w:sz w:val="20"/>
          <w:szCs w:val="20"/>
          <w:color w:val="auto"/>
        </w:rPr>
      </w:pPr>
    </w:p>
    <w:p>
      <w:pPr>
        <w:ind w:left="2120" w:hanging="654"/>
        <w:spacing w:after="0"/>
        <w:tabs>
          <w:tab w:leader="none" w:pos="21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54" w:lineRule="exact"/>
        <w:rPr>
          <w:sz w:val="20"/>
          <w:szCs w:val="20"/>
          <w:color w:val="auto"/>
        </w:rPr>
      </w:pPr>
    </w:p>
    <w:p>
      <w:pPr>
        <w:ind w:left="2120" w:hanging="654"/>
        <w:spacing w:after="0"/>
        <w:tabs>
          <w:tab w:leader="none" w:pos="21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1" w:lineRule="exact"/>
        <w:rPr>
          <w:sz w:val="20"/>
          <w:szCs w:val="20"/>
          <w:color w:val="auto"/>
        </w:rPr>
      </w:pPr>
    </w:p>
    <w:p>
      <w:pPr>
        <w:ind w:left="2120" w:hanging="654"/>
        <w:spacing w:after="0"/>
        <w:tabs>
          <w:tab w:leader="none" w:pos="21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 NOTICE OF GRANT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1097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b w:val="1"/>
          <w:bCs w:val="1"/>
          <w:color w:val="auto"/>
        </w:rPr>
        <w:t>Name of Grantee:</w:t>
      </w:r>
      <w:r>
        <w:rPr>
          <w:sz w:val="20"/>
          <w:szCs w:val="20"/>
          <w:color w:val="auto"/>
        </w:rPr>
        <w:tab/>
      </w:r>
      <w:r>
        <w:rPr>
          <w:rFonts w:ascii="Times New Roman" w:cs="Times New Roman" w:eastAsia="Times New Roman" w:hAnsi="Times New Roman"/>
          <w:sz w:val="21"/>
          <w:szCs w:val="21"/>
          <w:color w:val="auto"/>
        </w:rPr>
        <w:t>William Hult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-29210</wp:posOffset>
            </wp:positionV>
            <wp:extent cx="10972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8" w:lineRule="exact"/>
        <w:rPr>
          <w:sz w:val="20"/>
          <w:szCs w:val="20"/>
          <w:color w:val="auto"/>
        </w:rPr>
      </w:pPr>
    </w:p>
    <w:p>
      <w:pPr>
        <w:ind w:left="960" w:right="860" w:hanging="2348"/>
        <w:spacing w:after="0" w:line="236" w:lineRule="auto"/>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2"/>
          <w:szCs w:val="22"/>
          <w:color w:val="auto"/>
        </w:rPr>
        <w:t>The Restricted Stock Units shall vest pursuant to the terms and conditions set forth in Section 3 of the Award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wp:posOffset>
            </wp:positionV>
            <wp:extent cx="10972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39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395" w:right="559" w:bottom="1440" w:gutter="0" w:footer="0" w:header="0"/>
        </w:sect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-5715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-5715</wp:posOffset>
            </wp:positionV>
            <wp:extent cx="137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240"/>
        <w:spacing w:after="0"/>
        <w:rPr>
          <w:sz w:val="20"/>
          <w:szCs w:val="20"/>
          <w:color w:val="auto"/>
        </w:rPr>
      </w:pPr>
      <w:r>
        <w:rPr>
          <w:rFonts w:ascii="Times New Roman" w:cs="Times New Roman" w:eastAsia="Times New Roman" w:hAnsi="Times New Roman"/>
          <w:sz w:val="22"/>
          <w:szCs w:val="22"/>
          <w:color w:val="auto"/>
        </w:rPr>
        <w:t>Name: William Hult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Tradeweb Markets Inc. 2019 Omnibus Equity Incentive Plan]</w:t>
      </w:r>
    </w:p>
    <w:p>
      <w:pPr>
        <w:sectPr>
          <w:pgSz w:w="11900" w:h="16838" w:orient="portrait"/>
          <w:cols w:equalWidth="0" w:num="1">
            <w:col w:w="10360"/>
          </w:cols>
          <w:pgMar w:left="980" w:top="1395" w:right="559" w:bottom="1440" w:gutter="0" w:footer="0" w:header="0"/>
          <w:type w:val="continuous"/>
        </w:sectPr>
      </w:pPr>
    </w:p>
    <w:bookmarkStart w:id="99" w:name="page100"/>
    <w:bookmarkEnd w:id="99"/>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among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5" w:lineRule="exact"/>
        <w:rPr>
          <w:sz w:val="20"/>
          <w:szCs w:val="20"/>
          <w:color w:val="auto"/>
        </w:rPr>
      </w:pPr>
    </w:p>
    <w:p>
      <w:pPr>
        <w:ind w:left="2120" w:hanging="654"/>
        <w:spacing w:after="0"/>
        <w:tabs>
          <w:tab w:leader="none" w:pos="21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75" w:lineRule="exact"/>
        <w:rPr>
          <w:sz w:val="20"/>
          <w:szCs w:val="20"/>
          <w:color w:val="auto"/>
        </w:rPr>
      </w:pPr>
    </w:p>
    <w:p>
      <w:pPr>
        <w:ind w:left="2120" w:hanging="654"/>
        <w:spacing w:after="0"/>
        <w:tabs>
          <w:tab w:leader="none" w:pos="21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Restricted Stock Units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remain in effect until the Restricted Stock Units have fully vested and been settled or been forfeited by the Grantee as provided in this Award Agreement.</w:t>
      </w:r>
    </w:p>
    <w:p>
      <w:pPr>
        <w:spacing w:after="0" w:line="164" w:lineRule="exact"/>
        <w:rPr>
          <w:sz w:val="20"/>
          <w:szCs w:val="20"/>
          <w:color w:val="auto"/>
        </w:rPr>
      </w:pPr>
    </w:p>
    <w:p>
      <w:pPr>
        <w:ind w:left="2120" w:hanging="654"/>
        <w:spacing w:after="0"/>
        <w:tabs>
          <w:tab w:leader="none" w:pos="2120" w:val="left"/>
        </w:tabs>
        <w:numPr>
          <w:ilvl w:val="2"/>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Restricted Stock Units</w:t>
      </w:r>
    </w:p>
    <w:p>
      <w:pPr>
        <w:jc w:val="both"/>
        <w:ind w:firstLine="1304"/>
        <w:spacing w:after="0" w:line="218" w:lineRule="auto"/>
        <w:tabs>
          <w:tab w:leader="none" w:pos="1941"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 not having Terminated prior to such anniversary.</w:t>
      </w:r>
    </w:p>
    <w:p>
      <w:pPr>
        <w:spacing w:after="0" w:line="177" w:lineRule="exact"/>
        <w:rPr>
          <w:rFonts w:ascii="Times New Roman" w:cs="Times New Roman" w:eastAsia="Times New Roman" w:hAnsi="Times New Roman"/>
          <w:sz w:val="22"/>
          <w:szCs w:val="22"/>
          <w:color w:val="auto"/>
        </w:rPr>
      </w:pPr>
    </w:p>
    <w:p>
      <w:pPr>
        <w:jc w:val="both"/>
        <w:ind w:firstLine="1223"/>
        <w:spacing w:after="0" w:line="215" w:lineRule="auto"/>
        <w:tabs>
          <w:tab w:leader="none" w:pos="193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 For the avoidance of doubt, this accelerated vesting (other than in the case of a Qualified Change in Control as described in Section 5 below) shall not change the Settlement Date as set forth in Section 5 below, and the Award will continue to be settled following the originally scheduled Vesting Dates.</w:t>
      </w:r>
    </w:p>
    <w:p>
      <w:pPr>
        <w:spacing w:after="0" w:line="179" w:lineRule="exact"/>
        <w:rPr>
          <w:rFonts w:ascii="Times New Roman" w:cs="Times New Roman" w:eastAsia="Times New Roman" w:hAnsi="Times New Roman"/>
          <w:sz w:val="22"/>
          <w:szCs w:val="22"/>
          <w:color w:val="auto"/>
        </w:rPr>
      </w:pPr>
    </w:p>
    <w:p>
      <w:pPr>
        <w:ind w:left="1940" w:hanging="717"/>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3"/>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Section 3(c)(ii) and 3(c)(iii) below, if the Grantee incurs a Termination for any reason, whether voluntarily or involuntarily, then the portion of the Restricted Stock Units that have not previously vested shall terminate as of the date of the Grantee’s Termination.</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3"/>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Resignation for Good Reason</w:t>
      </w:r>
      <w:r>
        <w:rPr>
          <w:rFonts w:ascii="Times New Roman" w:cs="Times New Roman" w:eastAsia="Times New Roman" w:hAnsi="Times New Roman"/>
          <w:sz w:val="22"/>
          <w:szCs w:val="22"/>
          <w:color w:val="auto"/>
        </w:rPr>
        <w:t>. If the Grantee is Terminated (i) by the Company without Cause, (ii) as a result of the Company’s</w:t>
      </w:r>
    </w:p>
    <w:p>
      <w:pPr>
        <w:sectPr>
          <w:pgSz w:w="11900" w:h="16838" w:orient="portrait"/>
          <w:cols w:equalWidth="0" w:num="1">
            <w:col w:w="11240"/>
          </w:cols>
          <w:pgMar w:left="320" w:top="1391" w:right="339" w:bottom="1440" w:gutter="0" w:footer="0" w:header="0"/>
        </w:sectPr>
      </w:pPr>
    </w:p>
    <w:bookmarkStart w:id="100" w:name="page101"/>
    <w:bookmarkEnd w:id="100"/>
    <w:p>
      <w:pPr>
        <w:jc w:val="both"/>
        <w:spacing w:after="0" w:line="210" w:lineRule="auto"/>
        <w:rPr>
          <w:sz w:val="20"/>
          <w:szCs w:val="20"/>
          <w:color w:val="auto"/>
        </w:rPr>
      </w:pPr>
      <w:r>
        <w:rPr>
          <w:rFonts w:ascii="Times New Roman" w:cs="Times New Roman" w:eastAsia="Times New Roman" w:hAnsi="Times New Roman"/>
          <w:sz w:val="22"/>
          <w:szCs w:val="22"/>
          <w:color w:val="auto"/>
        </w:rPr>
        <w:t>nonrenewal of the Term (as defined in his employment agreement), or (iii) as a result of the Grantee’s resignation for Good Reason (as defined in his employment agreement), the portion of the Award that has not vested as of the date of the Termination shall become fully vested as of the date of the Termination. For the avoidance of doubt, this accelerated vesting shall not change the Settlement Date as set forth in Section 5 below, and the Award will continue to be settled following the originally scheduled Vesting Dates. In addition</w:t>
      </w:r>
      <w:r>
        <w:rPr>
          <w:rFonts w:ascii="Times New Roman" w:cs="Times New Roman" w:eastAsia="Times New Roman" w:hAnsi="Times New Roman"/>
          <w:sz w:val="17"/>
          <w:szCs w:val="17"/>
          <w:color w:val="auto"/>
        </w:rPr>
        <w:t>, i</w:t>
      </w:r>
      <w:r>
        <w:rPr>
          <w:rFonts w:ascii="Times New Roman" w:cs="Times New Roman" w:eastAsia="Times New Roman" w:hAnsi="Times New Roman"/>
          <w:sz w:val="22"/>
          <w:szCs w:val="22"/>
          <w:color w:val="auto"/>
        </w:rPr>
        <w:t>f within 180 days following any termination of the Grantee’s employment (whether voluntary or involuntary), the Company discovers that the Grantee engaged in willful dishonesty or willful misconduct of more than a de minimis nature, in each case, with regard to the Company that is materially and demonstrably injurious to the Company, and the facts surrounding that conduct were not known and reasonably could not have been known by any member of the Board (other than the Grantee) at the time of termination, then the Company may provide the Grantee with written notice, including the facts establishing that the Grantee’s conduct was not known at the time of the termination, in which case the Grantee’s termination of employment will be considered a for-Cause termination under this Award Agreement, and the Company may cancel any Shares received by the Grantee hereunder.</w:t>
      </w:r>
    </w:p>
    <w:p>
      <w:pPr>
        <w:spacing w:after="0" w:line="179" w:lineRule="exact"/>
        <w:rPr>
          <w:sz w:val="20"/>
          <w:szCs w:val="20"/>
          <w:color w:val="auto"/>
        </w:rPr>
      </w:pPr>
    </w:p>
    <w:p>
      <w:pPr>
        <w:jc w:val="both"/>
        <w:ind w:firstLine="1952"/>
        <w:spacing w:after="0" w:line="213" w:lineRule="auto"/>
        <w:tabs>
          <w:tab w:leader="none" w:pos="25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 Retirement</w:t>
      </w:r>
      <w:r>
        <w:rPr>
          <w:rFonts w:ascii="Times New Roman" w:cs="Times New Roman" w:eastAsia="Times New Roman" w:hAnsi="Times New Roman"/>
          <w:sz w:val="22"/>
          <w:szCs w:val="22"/>
          <w:color w:val="auto"/>
        </w:rPr>
        <w:t>. If the Grantee incurs a Termination (i) due to death or Disability, or (ii) due to his or her Retirement (as defined below), the portion of the Grantee’s Restricted Stock Units that have not previously vested shall continue to vest following the date of the Grantee’s death or Termination in accordance with the vesting schedule described in Section 3(a) hereof, and will continue to be settled in accordance with Section 5 below.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175" w:lineRule="exact"/>
        <w:rPr>
          <w:sz w:val="20"/>
          <w:szCs w:val="20"/>
          <w:color w:val="auto"/>
        </w:rPr>
      </w:pPr>
    </w:p>
    <w:p>
      <w:pPr>
        <w:ind w:left="2120" w:hanging="654"/>
        <w:spacing w:after="0"/>
        <w:tabs>
          <w:tab w:leader="none" w:pos="212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Stock Units</w:t>
      </w:r>
    </w:p>
    <w:p>
      <w:pPr>
        <w:spacing w:after="0" w:line="21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This Award Agreement shall entitle the Grantee to receive one (1) Share in settlement of each vested Restricted Stock Unit on the first trading date following the applicable Vesting Date (each such date, the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less a number of Shares having an aggregate Fair Market Value equal to the withholding and employment taxes associated with the settlement of the Restricted Stock Units;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2"/>
          <w:szCs w:val="22"/>
          <w:u w:val="single" w:color="auto"/>
          <w:color w:val="auto"/>
        </w:rPr>
        <w:t>Qualified Change in Control</w:t>
      </w:r>
      <w:r>
        <w:rPr>
          <w:rFonts w:ascii="Times New Roman" w:cs="Times New Roman" w:eastAsia="Times New Roman" w:hAnsi="Times New Roman"/>
          <w:sz w:val="22"/>
          <w:szCs w:val="22"/>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w:t>
      </w:r>
    </w:p>
    <w:p>
      <w:pPr>
        <w:sectPr>
          <w:pgSz w:w="11900" w:h="16838" w:orient="portrait"/>
          <w:cols w:equalWidth="0" w:num="1">
            <w:col w:w="11240"/>
          </w:cols>
          <w:pgMar w:left="320" w:top="1395" w:right="339" w:bottom="1440" w:gutter="0" w:footer="0" w:header="0"/>
        </w:sectPr>
      </w:pPr>
    </w:p>
    <w:bookmarkStart w:id="101" w:name="page102"/>
    <w:bookmarkEnd w:id="101"/>
    <w:p>
      <w:pPr>
        <w:spacing w:after="0" w:line="236" w:lineRule="auto"/>
        <w:rPr>
          <w:sz w:val="20"/>
          <w:szCs w:val="20"/>
          <w:color w:val="auto"/>
        </w:rPr>
      </w:pPr>
      <w:r>
        <w:rPr>
          <w:rFonts w:ascii="Times New Roman" w:cs="Times New Roman" w:eastAsia="Times New Roman" w:hAnsi="Times New Roman"/>
          <w:sz w:val="22"/>
          <w:szCs w:val="22"/>
          <w:color w:val="auto"/>
        </w:rPr>
        <w:t>Settlement Date, less a number of Shares having an aggregate Fair Market Value equal to the withholding and employment taxes associated with the settlement of such dividend equivalent rights.</w:t>
      </w:r>
    </w:p>
    <w:p>
      <w:pPr>
        <w:spacing w:after="0" w:line="173" w:lineRule="exact"/>
        <w:rPr>
          <w:sz w:val="20"/>
          <w:szCs w:val="20"/>
          <w:color w:val="auto"/>
        </w:rPr>
      </w:pPr>
    </w:p>
    <w:p>
      <w:pPr>
        <w:ind w:left="2120" w:hanging="654"/>
        <w:spacing w:after="0"/>
        <w:tabs>
          <w:tab w:leader="none" w:pos="21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the Notice, the Grantee acknowledges and reconfirms the covenants of confidentiality, non-competition and non-solicitation and other similar obligations of the Grantee set forth in the Grantee’s employment agreement, all of which shall continue to apply to the Grantee in accordance with the terms thereof.</w:t>
      </w:r>
    </w:p>
    <w:p>
      <w:pPr>
        <w:spacing w:after="0" w:line="175" w:lineRule="exact"/>
        <w:rPr>
          <w:sz w:val="20"/>
          <w:szCs w:val="20"/>
          <w:color w:val="auto"/>
        </w:rPr>
      </w:pPr>
    </w:p>
    <w:p>
      <w:pPr>
        <w:ind w:left="2120" w:hanging="654"/>
        <w:spacing w:after="0"/>
        <w:tabs>
          <w:tab w:leader="none" w:pos="2120" w:val="left"/>
        </w:tabs>
        <w:numPr>
          <w:ilvl w:val="1"/>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15"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xml:space="preserve">. Unless otherwise required by law, the Restricted Stock Units shall not be (i) sold, transferred or otherwise disposed of, (ii) pledged or otherwise hypothecated or (iii) subject to attachment, execution or levy of any kind, other than by will or 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Restricted Stock Units and Recovery</w:t>
      </w:r>
      <w:r>
        <w:rPr>
          <w:rFonts w:ascii="Times New Roman" w:cs="Times New Roman" w:eastAsia="Times New Roman" w:hAnsi="Times New Roman"/>
          <w:sz w:val="22"/>
          <w:szCs w:val="22"/>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(a) the Grantee materially breaches or violates the Grantee’s obligations under any Restrictive Agreement, (b) the Grantee engages in any activity prohibited by this Section 7 of this Award Agreement, or (c)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18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ectPr>
          <w:pgSz w:w="11900" w:h="16838" w:orient="portrait"/>
          <w:cols w:equalWidth="0" w:num="1">
            <w:col w:w="11240"/>
          </w:cols>
          <w:pgMar w:left="320" w:top="1395" w:right="339" w:bottom="1440" w:gutter="0" w:footer="0" w:header="0"/>
        </w:sectPr>
      </w:pPr>
    </w:p>
    <w:bookmarkStart w:id="102" w:name="page103"/>
    <w:bookmarkEnd w:id="102"/>
    <w:p>
      <w:pPr>
        <w:spacing w:after="0" w:line="194" w:lineRule="exact"/>
        <w:rPr>
          <w:sz w:val="20"/>
          <w:szCs w:val="20"/>
          <w:color w:val="auto"/>
        </w:rPr>
      </w:pPr>
    </w:p>
    <w:p>
      <w:pPr>
        <w:ind w:left="2120" w:hanging="654"/>
        <w:spacing w:after="0"/>
        <w:tabs>
          <w:tab w:leader="none" w:pos="212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Board to satisfy all obligations for the payment of such withholding taxes.</w:t>
      </w:r>
    </w:p>
    <w:p>
      <w:pPr>
        <w:spacing w:after="0" w:line="175" w:lineRule="exact"/>
        <w:rPr>
          <w:sz w:val="20"/>
          <w:szCs w:val="20"/>
          <w:color w:val="auto"/>
        </w:rPr>
      </w:pPr>
    </w:p>
    <w:p>
      <w:pPr>
        <w:ind w:left="2120" w:hanging="654"/>
        <w:spacing w:after="0"/>
        <w:tabs>
          <w:tab w:leader="none" w:pos="212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1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the Restricted Stock Units,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the Restricted Stock Units in any way which would: (x) require the Company to file any registration statement with the Securities and Exchange Commission (or 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81" w:lineRule="exact"/>
        <w:rPr>
          <w:sz w:val="20"/>
          <w:szCs w:val="20"/>
          <w:color w:val="auto"/>
        </w:rPr>
      </w:pPr>
    </w:p>
    <w:p>
      <w:pPr>
        <w:ind w:left="2100" w:hanging="634"/>
        <w:spacing w:after="0"/>
        <w:tabs>
          <w:tab w:leader="none" w:pos="210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Restricted Stock Units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75" w:lineRule="exact"/>
        <w:rPr>
          <w:sz w:val="20"/>
          <w:szCs w:val="20"/>
          <w:color w:val="auto"/>
        </w:rPr>
      </w:pPr>
    </w:p>
    <w:p>
      <w:pPr>
        <w:ind w:left="2120" w:hanging="654"/>
        <w:spacing w:after="0"/>
        <w:tabs>
          <w:tab w:leader="none" w:pos="212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w:t>
      </w:r>
    </w:p>
    <w:p>
      <w:pPr>
        <w:spacing w:after="0" w:line="3" w:lineRule="exact"/>
        <w:rPr>
          <w:sz w:val="20"/>
          <w:szCs w:val="20"/>
          <w:color w:val="auto"/>
        </w:rPr>
      </w:pPr>
    </w:p>
    <w:p>
      <w:pPr>
        <w:jc w:val="both"/>
        <w:ind w:firstLine="8"/>
        <w:spacing w:after="0" w:line="204" w:lineRule="auto"/>
        <w:tabs>
          <w:tab w:leader="none" w:pos="31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16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1177 Avenue of the Americas</w:t>
      </w:r>
    </w:p>
    <w:p>
      <w:pPr>
        <w:sectPr>
          <w:pgSz w:w="11900" w:h="16838" w:orient="portrait"/>
          <w:cols w:equalWidth="0" w:num="1">
            <w:col w:w="11240"/>
          </w:cols>
          <w:pgMar w:left="320" w:top="1440" w:right="339" w:bottom="1440" w:gutter="0" w:footer="0" w:header="0"/>
        </w:sectPr>
      </w:pPr>
    </w:p>
    <w:bookmarkStart w:id="103" w:name="page104"/>
    <w:bookmarkEnd w:id="103"/>
    <w:p>
      <w:pPr>
        <w:ind w:left="1960"/>
        <w:spacing w:after="0"/>
        <w:rPr>
          <w:sz w:val="20"/>
          <w:szCs w:val="20"/>
          <w:color w:val="auto"/>
        </w:rPr>
      </w:pPr>
      <w:r>
        <w:rPr>
          <w:rFonts w:ascii="Times New Roman" w:cs="Times New Roman" w:eastAsia="Times New Roman" w:hAnsi="Times New Roman"/>
          <w:sz w:val="22"/>
          <w:szCs w:val="22"/>
          <w:color w:val="auto"/>
        </w:rPr>
        <w:t>New York, New York 10036</w:t>
      </w:r>
    </w:p>
    <w:p>
      <w:pPr>
        <w:ind w:left="1960"/>
        <w:spacing w:after="0" w:line="204" w:lineRule="auto"/>
        <w:rPr>
          <w:sz w:val="20"/>
          <w:szCs w:val="20"/>
          <w:color w:val="auto"/>
        </w:rPr>
      </w:pPr>
      <w:r>
        <w:rPr>
          <w:rFonts w:ascii="Times New Roman" w:cs="Times New Roman" w:eastAsia="Times New Roman" w:hAnsi="Times New Roman"/>
          <w:sz w:val="22"/>
          <w:szCs w:val="22"/>
          <w:color w:val="auto"/>
        </w:rPr>
        <w:t>Attention: Douglas Friedman, General Counsel</w:t>
      </w:r>
    </w:p>
    <w:p>
      <w:pPr>
        <w:ind w:left="1960"/>
        <w:spacing w:after="0" w:line="205" w:lineRule="auto"/>
        <w:rPr>
          <w:sz w:val="20"/>
          <w:szCs w:val="20"/>
          <w:color w:val="auto"/>
        </w:rPr>
      </w:pPr>
      <w:r>
        <w:rPr>
          <w:rFonts w:ascii="Times New Roman" w:cs="Times New Roman" w:eastAsia="Times New Roman" w:hAnsi="Times New Roman"/>
          <w:sz w:val="22"/>
          <w:szCs w:val="22"/>
          <w:color w:val="auto"/>
        </w:rPr>
        <w:t>Email: Douglas.Friedman@tradeweb.com</w:t>
      </w:r>
    </w:p>
    <w:p>
      <w:pPr>
        <w:spacing w:after="0" w:line="1" w:lineRule="exact"/>
        <w:rPr>
          <w:sz w:val="20"/>
          <w:szCs w:val="20"/>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178"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10" w:lineRule="exact"/>
        <w:rPr>
          <w:sz w:val="20"/>
          <w:szCs w:val="20"/>
          <w:color w:val="auto"/>
        </w:rPr>
      </w:pPr>
    </w:p>
    <w:p>
      <w:pPr>
        <w:jc w:val="both"/>
        <w:ind w:firstLine="1304"/>
        <w:spacing w:after="0" w:line="215"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 Committee. All determinations made and actions taken with respect to this Section 13(b) shall be made in the sole discretion of the Committee.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75" w:lineRule="exact"/>
        <w:rPr>
          <w:sz w:val="20"/>
          <w:szCs w:val="20"/>
          <w:color w:val="auto"/>
        </w:rPr>
      </w:pPr>
    </w:p>
    <w:p>
      <w:pPr>
        <w:ind w:left="2120" w:hanging="654"/>
        <w:spacing w:after="0"/>
        <w:tabs>
          <w:tab w:leader="none" w:pos="212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10"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5" w:lineRule="exact"/>
        <w:rPr>
          <w:sz w:val="20"/>
          <w:szCs w:val="20"/>
          <w:color w:val="auto"/>
        </w:rPr>
      </w:pPr>
    </w:p>
    <w:p>
      <w:pPr>
        <w:ind w:left="2120" w:hanging="654"/>
        <w:spacing w:after="0"/>
        <w:tabs>
          <w:tab w:leader="none" w:pos="212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18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 w:lineRule="exact"/>
        <w:rPr>
          <w:sz w:val="20"/>
          <w:szCs w:val="20"/>
          <w:color w:val="auto"/>
        </w:rPr>
      </w:pPr>
    </w:p>
    <w:p>
      <w:pPr>
        <w:ind w:left="2120" w:hanging="654"/>
        <w:spacing w:after="0"/>
        <w:tabs>
          <w:tab w:leader="none" w:pos="21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18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w:t>
      </w:r>
    </w:p>
    <w:p>
      <w:pPr>
        <w:sectPr>
          <w:pgSz w:w="11900" w:h="16838" w:orient="portrait"/>
          <w:cols w:equalWidth="0" w:num="1">
            <w:col w:w="11240"/>
          </w:cols>
          <w:pgMar w:left="320" w:top="1382" w:right="339" w:bottom="1440" w:gutter="0" w:footer="0" w:header="0"/>
        </w:sectPr>
      </w:pPr>
    </w:p>
    <w:bookmarkStart w:id="104" w:name="page105"/>
    <w:bookmarkEnd w:id="104"/>
    <w:p>
      <w:pPr>
        <w:jc w:val="both"/>
        <w:spacing w:after="0" w:line="225" w:lineRule="auto"/>
        <w:rPr>
          <w:sz w:val="20"/>
          <w:szCs w:val="20"/>
          <w:color w:val="auto"/>
        </w:rPr>
      </w:pPr>
      <w:r>
        <w:rPr>
          <w:rFonts w:ascii="Times New Roman" w:cs="Times New Roman" w:eastAsia="Times New Roman" w:hAnsi="Times New Roman"/>
          <w:sz w:val="22"/>
          <w:szCs w:val="22"/>
          <w:color w:val="auto"/>
        </w:rPr>
        <w:t>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75" w:lineRule="exact"/>
        <w:rPr>
          <w:sz w:val="20"/>
          <w:szCs w:val="20"/>
          <w:color w:val="auto"/>
        </w:rPr>
      </w:pPr>
    </w:p>
    <w:p>
      <w:pPr>
        <w:ind w:left="2120" w:hanging="654"/>
        <w:spacing w:after="0"/>
        <w:tabs>
          <w:tab w:leader="none" w:pos="212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73" w:lineRule="exact"/>
        <w:rPr>
          <w:sz w:val="20"/>
          <w:szCs w:val="20"/>
          <w:color w:val="auto"/>
        </w:rPr>
      </w:pPr>
    </w:p>
    <w:p>
      <w:pPr>
        <w:ind w:left="2120" w:hanging="654"/>
        <w:spacing w:after="0"/>
        <w:tabs>
          <w:tab w:leader="none" w:pos="21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 w:lineRule="exact"/>
        <w:rPr>
          <w:sz w:val="20"/>
          <w:szCs w:val="20"/>
          <w:color w:val="auto"/>
        </w:rPr>
      </w:pPr>
    </w:p>
    <w:p>
      <w:pPr>
        <w:ind w:left="2120" w:hanging="654"/>
        <w:spacing w:after="0"/>
        <w:tabs>
          <w:tab w:leader="none" w:pos="21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8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 exercise any such right shall not deprive the party of the right to take action at any time while or after such breach or condition giving rise to such rights continues.</w:t>
      </w:r>
    </w:p>
    <w:p>
      <w:pPr>
        <w:sectPr>
          <w:pgSz w:w="11900" w:h="16838" w:orient="portrait"/>
          <w:cols w:equalWidth="0" w:num="1">
            <w:col w:w="11240"/>
          </w:cols>
          <w:pgMar w:left="320" w:top="139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 NOTICE OF GRANT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Delaware corporation, hereby grants to the Grantee set forth below (the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pursuant to the terms and conditions of this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and the Tradeweb Markets Inc. 2019 Omnibus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Capitalized terms used but not defined herein shall have the meaning attributed to such terms in the Award Agreement or, if not defined therein, in the Plan, unless the context requires otherwise. Each Restricted Stock Unit represents the right to receive one (1) Share at the time and in the manner set forth in Section 5 of the Award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-11430</wp:posOffset>
            </wp:positionV>
            <wp:extent cx="6858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-11430</wp:posOffset>
            </wp:positionV>
            <wp:extent cx="6858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-29210</wp:posOffset>
            </wp:positionV>
            <wp:extent cx="6858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8" w:lineRule="exact"/>
        <w:rPr>
          <w:sz w:val="20"/>
          <w:szCs w:val="20"/>
          <w:color w:val="auto"/>
        </w:rPr>
      </w:pPr>
    </w:p>
    <w:p>
      <w:pPr>
        <w:ind w:left="960" w:right="860" w:hanging="2348"/>
        <w:spacing w:after="0" w:line="236" w:lineRule="auto"/>
        <w:tabs>
          <w:tab w:leader="none" w:pos="940" w:val="left"/>
        </w:tabs>
        <w:rPr>
          <w:sz w:val="20"/>
          <w:szCs w:val="20"/>
          <w:color w:val="auto"/>
        </w:rPr>
      </w:pPr>
      <w:r>
        <w:rPr>
          <w:rFonts w:ascii="Times New Roman" w:cs="Times New Roman" w:eastAsia="Times New Roman" w:hAnsi="Times New Roman"/>
          <w:sz w:val="22"/>
          <w:szCs w:val="22"/>
          <w:b w:val="1"/>
          <w:bCs w:val="1"/>
          <w:color w:val="auto"/>
        </w:rPr>
        <w:t>Vesting:</w:t>
      </w:r>
      <w:r>
        <w:rPr>
          <w:sz w:val="20"/>
          <w:szCs w:val="20"/>
          <w:color w:val="auto"/>
        </w:rPr>
        <w:tab/>
      </w:r>
      <w:r>
        <w:rPr>
          <w:rFonts w:ascii="Times New Roman" w:cs="Times New Roman" w:eastAsia="Times New Roman" w:hAnsi="Times New Roman"/>
          <w:sz w:val="22"/>
          <w:szCs w:val="22"/>
          <w:color w:val="auto"/>
        </w:rPr>
        <w:t>The Restricted Stock Units shall vest pursuant to the terms and conditions set forth in Section 3 of the Award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wp:posOffset>
            </wp:positionV>
            <wp:extent cx="6858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9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1"/>
          <w:szCs w:val="21"/>
          <w:color w:val="auto"/>
        </w:rPr>
        <w:t>The Restricted Stock Units shall be subject to the execution and return of this Notice by the Grantee to the Company within 15 days of the Grantee’s receipt of this Notice (including by utilizing an electronic signature and/or web-based approval and notice process or any other process as may be authorized by the Company). By executing this Notice, the Grantee acknowledges that his or her agreement to the covenants set forth in the Restrictive Covenant Agreement entered into by and between the Grantee and the Company on or about the date hereof is a material inducement to the Company in granting this Award to the Grantee.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39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Notice of Grant as of the Date of Grant set forth above.</w:t>
      </w:r>
    </w:p>
    <w:p>
      <w:pPr>
        <w:sectPr>
          <w:pgSz w:w="11900" w:h="16838" w:orient="portrait"/>
          <w:cols w:equalWidth="0" w:num="1">
            <w:col w:w="10360"/>
          </w:cols>
          <w:pgMar w:left="980" w:top="1395" w:right="559" w:bottom="1440" w:gutter="0" w:footer="0" w:header="0"/>
        </w:sectPr>
      </w:pPr>
    </w:p>
    <w:p>
      <w:pPr>
        <w:spacing w:after="0" w:line="2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-5715</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GRANTEE</w:t>
      </w:r>
    </w:p>
    <w:p>
      <w:pPr>
        <w:spacing w:after="0" w:line="200" w:lineRule="exact"/>
        <w:rPr>
          <w:sz w:val="20"/>
          <w:szCs w:val="20"/>
          <w:color w:val="auto"/>
        </w:rPr>
      </w:pP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-5715</wp:posOffset>
            </wp:positionV>
            <wp:extent cx="274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32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[Signature Page to Notice of Restricted Stock Unit Grant for Tradeweb Markets Inc. 2019 Omnibus Equity Incentive Plan]</w:t>
      </w:r>
    </w:p>
    <w:p>
      <w:pPr>
        <w:sectPr>
          <w:pgSz w:w="11900" w:h="16838" w:orient="portrait"/>
          <w:cols w:equalWidth="0" w:num="1">
            <w:col w:w="10360"/>
          </w:cols>
          <w:pgMar w:left="980" w:top="1395" w:right="559" w:bottom="1440" w:gutter="0" w:footer="0" w:header="0"/>
          <w:type w:val="continuous"/>
        </w:sectPr>
      </w:pPr>
    </w:p>
    <w:bookmarkStart w:id="107" w:name="page108"/>
    <w:bookmarkEnd w:id="107"/>
    <w:p>
      <w:pPr>
        <w:ind w:left="518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9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TRADEWEB MARKETS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2019 OMNIBUS EQUITY INCENTIVE PLAN</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(Version 2023)</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RESTRICTED STOCK UNIT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is entered into by and among Tradeweb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individual set forth on the signature page to that certain Notice of Grant (the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which this Award Agreement is attached. The terms and conditions of the Restricted Stock Units granted hereby, to the extent not controlled by the terms and conditions contained in the Plan, shall be as set forth in the Notice and this Award Agreement. Capitalized terms used but not defined herein shall have the meaning attributed to such terms in the Notice or, if not defined therein, in the Plan.</w:t>
      </w:r>
    </w:p>
    <w:p>
      <w:pPr>
        <w:spacing w:after="0" w:line="175" w:lineRule="exact"/>
        <w:rPr>
          <w:sz w:val="20"/>
          <w:szCs w:val="20"/>
          <w:color w:val="auto"/>
        </w:rPr>
      </w:pPr>
    </w:p>
    <w:p>
      <w:pPr>
        <w:ind w:left="2120" w:hanging="654"/>
        <w:spacing w:after="0"/>
        <w:tabs>
          <w:tab w:leader="none" w:pos="212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Continued Employee Status or Consultant Service</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Nothing contained in this Award Agreement shall confer upon the Grantee the right to the continuation of his or her employment, or, in the case of a Consultant or Director, to the continuation of his or her service arrangement, nor shall anything herein interfere with the right of the Company or any of its Subsidiaries or other Affiliates to Terminate the Grantee.</w:t>
      </w:r>
    </w:p>
    <w:p>
      <w:pPr>
        <w:spacing w:after="0" w:line="176" w:lineRule="exact"/>
        <w:rPr>
          <w:sz w:val="20"/>
          <w:szCs w:val="20"/>
          <w:color w:val="auto"/>
        </w:rPr>
      </w:pPr>
    </w:p>
    <w:p>
      <w:pPr>
        <w:ind w:left="2120" w:hanging="654"/>
        <w:spacing w:after="0"/>
        <w:tabs>
          <w:tab w:leader="none" w:pos="21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Restricted Stock Units</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remain in effect until the Restricted Stock Units have fully vested and been settled or been forfeited by the Grantee as provided in this Award Agreement.</w:t>
      </w:r>
    </w:p>
    <w:p>
      <w:pPr>
        <w:spacing w:after="0" w:line="164" w:lineRule="exact"/>
        <w:rPr>
          <w:sz w:val="20"/>
          <w:szCs w:val="20"/>
          <w:color w:val="auto"/>
        </w:rPr>
      </w:pPr>
    </w:p>
    <w:p>
      <w:pPr>
        <w:ind w:left="2120" w:hanging="654"/>
        <w:spacing w:after="0"/>
        <w:tabs>
          <w:tab w:leader="none" w:pos="2120" w:val="left"/>
        </w:tabs>
        <w:numPr>
          <w:ilvl w:val="2"/>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of Restricted Stock Units</w:t>
      </w:r>
    </w:p>
    <w:p>
      <w:pPr>
        <w:jc w:val="both"/>
        <w:ind w:firstLine="1304"/>
        <w:spacing w:after="0" w:line="218" w:lineRule="auto"/>
        <w:tabs>
          <w:tab w:leader="none" w:pos="194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Subject to the Grantee’s not having Terminated, except as specifically provided herein or in the Plan, one-third (1/3) of the Restricted Stock Units shall vest on each of the first, second, and third anniversaries of the Vesting Start Date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subject to the Grantee not having Terminated prior to such anniversary.</w:t>
      </w:r>
    </w:p>
    <w:p>
      <w:pPr>
        <w:spacing w:after="0" w:line="177" w:lineRule="exact"/>
        <w:rPr>
          <w:rFonts w:ascii="Times New Roman" w:cs="Times New Roman" w:eastAsia="Times New Roman" w:hAnsi="Times New Roman"/>
          <w:sz w:val="22"/>
          <w:szCs w:val="22"/>
          <w:color w:val="auto"/>
        </w:rPr>
      </w:pPr>
    </w:p>
    <w:p>
      <w:pPr>
        <w:jc w:val="both"/>
        <w:ind w:firstLine="1223"/>
        <w:spacing w:after="0" w:line="215" w:lineRule="auto"/>
        <w:tabs>
          <w:tab w:leader="none" w:pos="193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the foregoing, in the event of a Change in Control, the portion of the Award that has not vested as of the date of the Change in Control shall become fully vested as of the date of the Change in Control, subject to the Grantee not having Terminated prior to the closing of such Change in Control. For the avoidance of doubt, this accelerated vesting (other than in the case of a Qualified Change in Control as described in Section 5 below) shall not change the Settlement Date as set forth in Section 5 below, and the Award will continue to be settled following the originally scheduled Vesting Dates.</w:t>
      </w:r>
    </w:p>
    <w:p>
      <w:pPr>
        <w:spacing w:after="0" w:line="179" w:lineRule="exact"/>
        <w:rPr>
          <w:rFonts w:ascii="Times New Roman" w:cs="Times New Roman" w:eastAsia="Times New Roman" w:hAnsi="Times New Roman"/>
          <w:sz w:val="22"/>
          <w:szCs w:val="22"/>
          <w:color w:val="auto"/>
        </w:rPr>
      </w:pPr>
    </w:p>
    <w:p>
      <w:pPr>
        <w:ind w:left="1940" w:hanging="717"/>
        <w:spacing w:after="0"/>
        <w:tabs>
          <w:tab w:leader="none" w:pos="19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3"/>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Section 3(c)(ii) below, if the Grantee incurs a Termination for any reason, whether voluntarily or involuntarily, then the portion of the Restricted Stock Units that have not previously vested shall terminate as of the date of the Grantee’s Termination.</w:t>
      </w:r>
    </w:p>
    <w:p>
      <w:pPr>
        <w:spacing w:after="0" w:line="179"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3"/>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Death or Disability; Retirement</w:t>
      </w:r>
      <w:r>
        <w:rPr>
          <w:rFonts w:ascii="Times New Roman" w:cs="Times New Roman" w:eastAsia="Times New Roman" w:hAnsi="Times New Roman"/>
          <w:sz w:val="22"/>
          <w:szCs w:val="22"/>
          <w:color w:val="auto"/>
        </w:rPr>
        <w:t>. If the Grantee incurs a Termination (i) without Cause, (ii) due to death or Disability, or (iii) due to his</w:t>
      </w:r>
    </w:p>
    <w:p>
      <w:pPr>
        <w:sectPr>
          <w:pgSz w:w="11900" w:h="16838" w:orient="portrait"/>
          <w:cols w:equalWidth="0" w:num="1">
            <w:col w:w="11240"/>
          </w:cols>
          <w:pgMar w:left="320" w:top="1391" w:right="339" w:bottom="1440" w:gutter="0" w:footer="0" w:header="0"/>
        </w:sectPr>
      </w:pPr>
    </w:p>
    <w:bookmarkStart w:id="108" w:name="page109"/>
    <w:bookmarkEnd w:id="108"/>
    <w:p>
      <w:pPr>
        <w:jc w:val="both"/>
        <w:spacing w:after="0" w:line="211" w:lineRule="auto"/>
        <w:rPr>
          <w:sz w:val="20"/>
          <w:szCs w:val="20"/>
          <w:color w:val="auto"/>
        </w:rPr>
      </w:pPr>
      <w:r>
        <w:rPr>
          <w:rFonts w:ascii="Times New Roman" w:cs="Times New Roman" w:eastAsia="Times New Roman" w:hAnsi="Times New Roman"/>
          <w:sz w:val="22"/>
          <w:szCs w:val="22"/>
          <w:color w:val="auto"/>
        </w:rPr>
        <w:t>or her Retirement (as defined below), the portion of the Grantee’s Restricted Stock Units that have not previously vested shall continue to vest following the date of the Grantee’s death or Termination in accordance with the vesting schedule described in Section 3(a) hereof, and will continue to be settled in accordance with Section 5 below. In addition, if following the Grantee’s Termination (whether voluntary or involuntary) the Company discovers facts that would have established Cause for Termination, then the Company may provide the Grantee with written notice of such facts, in which case the Grantee’s Termination will be considered a for Cause Termination under this Award Agreement and the Company may cancel any Shares received by the Grantee hereunder. For purposes of this Award Agreement, “</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means a Grantee’s voluntary resignation upon six months’ notice to the Company for any reason after attaining a combination of (A) age 55 with at least 10 years of credited service or (B) age 65 with at least 5 years of credited service.</w:t>
      </w:r>
    </w:p>
    <w:p>
      <w:pPr>
        <w:spacing w:after="0" w:line="181" w:lineRule="exact"/>
        <w:rPr>
          <w:sz w:val="20"/>
          <w:szCs w:val="20"/>
          <w:color w:val="auto"/>
        </w:rPr>
      </w:pPr>
    </w:p>
    <w:p>
      <w:pPr>
        <w:ind w:left="2120" w:hanging="654"/>
        <w:spacing w:after="0"/>
        <w:tabs>
          <w:tab w:leader="none" w:pos="21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 Rights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Restricted Stock Units granted hereunder will accumulate dividend equivalent rights in respect of any dividends paid on Shares (on a one Share to one Restricted Stock Unit basis) from the Date of Grant through each Vesting Date. To the extent the Restricted Stock Units that gave rise to any dividend equivalent rights are forfeited pursuant to this Award Agreement or the Plan, those dividend equivalent rights will also be forfeited. The aggregate dollar amount of dividend equivalent rights accumulated under this Section 4 and not forfeited shall be added to, and be settled at the same time as the related Restricted Stock Units pursuant to Section 5 below.</w:t>
      </w:r>
    </w:p>
    <w:p>
      <w:pPr>
        <w:spacing w:after="0" w:line="175" w:lineRule="exact"/>
        <w:rPr>
          <w:sz w:val="20"/>
          <w:szCs w:val="20"/>
          <w:color w:val="auto"/>
        </w:rPr>
      </w:pPr>
    </w:p>
    <w:p>
      <w:pPr>
        <w:ind w:left="2120" w:hanging="654"/>
        <w:spacing w:after="0"/>
        <w:tabs>
          <w:tab w:leader="none" w:pos="212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Restricted Stock Units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This Award Agreement shall entitle the Grantee to receive one (1) Share in settlement of each vested Restricted Stock Unit on the first trading date following the applicable Vesting Date (each such date,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xml:space="preserve">”), less a number of Shares having an aggregate Fair Market Value equal to the withholding and employment taxes associated with the settlement of the Restricted Stock Units;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“Qualified Change in Control” (as defined below) occurs prior to the settlement of any Restricted Stock Unit, settlement shall occur at the time(s) and in the same form of consideration as the consideration delivered to the Company’s stockholders in connection with such transaction, to the extent permitted by Code Section 409A. For purposes of the foregoing, a “</w:t>
      </w:r>
      <w:r>
        <w:rPr>
          <w:rFonts w:ascii="Times New Roman" w:cs="Times New Roman" w:eastAsia="Times New Roman" w:hAnsi="Times New Roman"/>
          <w:sz w:val="21"/>
          <w:szCs w:val="21"/>
          <w:u w:val="single" w:color="auto"/>
          <w:color w:val="auto"/>
        </w:rPr>
        <w:t>Qualified Change in Control</w:t>
      </w:r>
      <w:r>
        <w:rPr>
          <w:rFonts w:ascii="Times New Roman" w:cs="Times New Roman" w:eastAsia="Times New Roman" w:hAnsi="Times New Roman"/>
          <w:sz w:val="21"/>
          <w:szCs w:val="21"/>
          <w:color w:val="auto"/>
        </w:rPr>
        <w:t>” is a Change in Control that also constitutes a change of ownership or effective control of, or in the ownership of a substantial portion of the assets of, the Company for purposes of Code Section 409A. In addition, the Company shall deliver to the Grantee on the Settlement Date a number of Shares having an aggregate Fair Market Value on the Settlement Date equal to any dividend equivalent rights accrued pursuant to Section 4 hereof in respect of the Restricted Stock Units to be settled on the Settlement Date, less a number of Shares having an aggregate Fair Market Value equal to the withholding and employment taxes associated with the settlement of such dividend equivalent rights.</w:t>
      </w:r>
    </w:p>
    <w:p>
      <w:pPr>
        <w:spacing w:after="0" w:line="175" w:lineRule="exact"/>
        <w:rPr>
          <w:sz w:val="20"/>
          <w:szCs w:val="20"/>
          <w:color w:val="auto"/>
        </w:rPr>
      </w:pPr>
    </w:p>
    <w:p>
      <w:pPr>
        <w:ind w:left="2120" w:hanging="654"/>
        <w:spacing w:after="0"/>
        <w:tabs>
          <w:tab w:leader="none" w:pos="21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the Notice, the Grantee acknowledges that he or she has entered into a Restricted Covenant Agreement with the Company on or about the date hereof which supersedes any prior restrictive covenant agreements entered into by the Grantee and the Company (if any).</w:t>
      </w:r>
    </w:p>
    <w:p>
      <w:pPr>
        <w:spacing w:after="0" w:line="175" w:lineRule="exact"/>
        <w:rPr>
          <w:sz w:val="20"/>
          <w:szCs w:val="20"/>
          <w:color w:val="auto"/>
        </w:rPr>
      </w:pPr>
    </w:p>
    <w:p>
      <w:pPr>
        <w:ind w:left="2120" w:hanging="654"/>
        <w:spacing w:after="0"/>
        <w:tabs>
          <w:tab w:leader="none" w:pos="2120" w:val="left"/>
        </w:tabs>
        <w:numPr>
          <w:ilvl w:val="1"/>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210"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 or Transfer</w:t>
      </w:r>
      <w:r>
        <w:rPr>
          <w:rFonts w:ascii="Times New Roman" w:cs="Times New Roman" w:eastAsia="Times New Roman" w:hAnsi="Times New Roman"/>
          <w:sz w:val="22"/>
          <w:szCs w:val="22"/>
          <w:color w:val="auto"/>
        </w:rPr>
        <w:t>. Unless otherwise required by law, the Restricted Stock Units shall not be (i) sold, transferred or otherwise disposed of, (ii) pledged or otherwise hypothecated or (iii) subject to attachment, execution or levy of any kind, other than by will or</w:t>
      </w:r>
    </w:p>
    <w:p>
      <w:pPr>
        <w:sectPr>
          <w:pgSz w:w="11900" w:h="16838" w:orient="portrait"/>
          <w:cols w:equalWidth="0" w:num="1">
            <w:col w:w="11240"/>
          </w:cols>
          <w:pgMar w:left="320" w:top="1395" w:right="339" w:bottom="1440" w:gutter="0" w:footer="0" w:header="0"/>
        </w:sectPr>
      </w:pPr>
    </w:p>
    <w:bookmarkStart w:id="109" w:name="page110"/>
    <w:bookmarkEnd w:id="109"/>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by the laws of descent or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transferred Restricted Stock Units will be subject to all of the same terms and conditions as provided in the Plan and this Award Agreement and the Grantee’s estate or beneficiary appointed in accordance with the Plan will remain liable for any withholding tax that may be imposed by any federal, state or local tax authority.</w:t>
      </w:r>
    </w:p>
    <w:p>
      <w:pPr>
        <w:spacing w:after="0" w:line="179" w:lineRule="exact"/>
        <w:rPr>
          <w:sz w:val="20"/>
          <w:szCs w:val="20"/>
          <w:color w:val="auto"/>
        </w:rPr>
      </w:pPr>
    </w:p>
    <w:p>
      <w:pPr>
        <w:jc w:val="both"/>
        <w:ind w:firstLine="1304"/>
        <w:spacing w:after="0" w:line="210"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Terminate Restricted Stock Units and Recovery</w:t>
      </w:r>
      <w:r>
        <w:rPr>
          <w:rFonts w:ascii="Times New Roman" w:cs="Times New Roman" w:eastAsia="Times New Roman" w:hAnsi="Times New Roman"/>
          <w:sz w:val="22"/>
          <w:szCs w:val="22"/>
          <w:color w:val="auto"/>
        </w:rPr>
        <w:t>. The Grantee understands and agrees that the Company has granted the Restricted Stock Units to the Grantee to reward the Grantee for the Grantee’s future efforts and loyalty to the Company and its Affiliates by giving the Grantee the opportunity to participate in the potential future appreciation of the Company. Accordingly, if (a) the Grantee materially breaches or violates the Grantee’s obligations under any Restrictive Agreement, (b) the Grantee engages in any activity prohibited by this Section 7 of this Award Agreement, or (c) the Grantee is convicted of a felony against the Company or any of its Affiliates, then, in addition to any other rights and remedies available to the Company, the Company shall be entitled, at its option, exercisable by written notice, to terminate the Restricted Stock Units (including the vested portion of the Restricted Stock Units) without consideration, which shall be of no further force and effect. “</w:t>
      </w:r>
      <w:r>
        <w:rPr>
          <w:rFonts w:ascii="Times New Roman" w:cs="Times New Roman" w:eastAsia="Times New Roman" w:hAnsi="Times New Roman"/>
          <w:sz w:val="22"/>
          <w:szCs w:val="22"/>
          <w:u w:val="single" w:color="auto"/>
          <w:color w:val="auto"/>
        </w:rPr>
        <w:t>Restrictive Agreement</w:t>
      </w:r>
      <w:r>
        <w:rPr>
          <w:rFonts w:ascii="Times New Roman" w:cs="Times New Roman" w:eastAsia="Times New Roman" w:hAnsi="Times New Roman"/>
          <w:sz w:val="22"/>
          <w:szCs w:val="22"/>
          <w:color w:val="auto"/>
        </w:rPr>
        <w:t>” shall mean any agreement between the Company or any Subsidiary and the Grantee that contains non-competition, non-solicitation, non-hire, non-disparagement, non-disclosure, confidentiality or similar restrictions applicable to the Grantee.</w:t>
      </w:r>
    </w:p>
    <w:p>
      <w:pPr>
        <w:spacing w:after="0" w:line="184"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The Grantee specifically acknowledges and agrees that its remedies under this Section 7 shall not prevent the Company or any Subsidiary from seeking injunctive or other equitable relief in connection with the Grantee’s breach of any Restrictive Agreement. In the event that the provisions of this Section 7 should ever be deemed to exceed the limitation provided by applicable law, then the Grantee and the Company agree that such provisions shall be reformed to set forth the maximum limitations permitted.</w:t>
      </w:r>
    </w:p>
    <w:p>
      <w:pPr>
        <w:spacing w:after="0" w:line="175" w:lineRule="exact"/>
        <w:rPr>
          <w:rFonts w:ascii="Times New Roman" w:cs="Times New Roman" w:eastAsia="Times New Roman" w:hAnsi="Times New Roman"/>
          <w:sz w:val="22"/>
          <w:szCs w:val="22"/>
          <w:color w:val="auto"/>
        </w:rPr>
      </w:pPr>
    </w:p>
    <w:p>
      <w:pPr>
        <w:ind w:left="2120" w:hanging="654"/>
        <w:spacing w:after="0"/>
        <w:tabs>
          <w:tab w:leader="none" w:pos="2120"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Rights as Stockholder</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Grantee shall have no rights as a stockholder with respect to the Shares covered by the Restricted Stock Units until the effective date of issuance of the Shares and the entry of the Grantee’s name as a shareholder of record on the books of the Company following delivery of the Shares in settlement of the Restricted Stock Units.</w:t>
      </w:r>
    </w:p>
    <w:p>
      <w:pPr>
        <w:spacing w:after="0" w:line="175" w:lineRule="exact"/>
        <w:rPr>
          <w:sz w:val="20"/>
          <w:szCs w:val="20"/>
          <w:color w:val="auto"/>
        </w:rPr>
      </w:pPr>
    </w:p>
    <w:p>
      <w:pPr>
        <w:ind w:left="2120" w:hanging="654"/>
        <w:spacing w:after="0"/>
        <w:tabs>
          <w:tab w:leader="none" w:pos="21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All payments made pursuant to this Award Agreement shall be subject to all applicable U.S. federal, state and local and applicable non-U.S. tax, social security and similar withholdings. The Grantee shall be solely responsible for the payment of all taxes relating to the payment or provision of any amounts or benefits hereunder. The Company shall have the right and is hereby authorized to withhold, any applicable withholding taxes in respect of the Restricted Stock Units, or any payment or transfer under, or with respect to, the Restricted Stock Units and to take such other action as may be necessary in the reasonable opinion of the Board to satisfy all obligations for the payment of such withholding taxes.</w:t>
      </w:r>
    </w:p>
    <w:p>
      <w:pPr>
        <w:spacing w:after="0" w:line="175" w:lineRule="exact"/>
        <w:rPr>
          <w:sz w:val="20"/>
          <w:szCs w:val="20"/>
          <w:color w:val="auto"/>
        </w:rPr>
      </w:pPr>
    </w:p>
    <w:p>
      <w:pPr>
        <w:ind w:left="2120" w:hanging="648"/>
        <w:spacing w:after="0"/>
        <w:tabs>
          <w:tab w:leader="none" w:pos="21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Laws</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Upon the acquisition of any Shares pursuant to the settlement of the Restricted Stock Units, the Grantee will make such written representations, warranties, and agreements as the Committee may reasonably request in order to comply with securities laws or with this Award Agreement. The Grantee hereby agrees not to offer, sell or otherwise attempt to dispose of any Shares issued to the Grantee upon settlement of the Restricted Stock Units in any way which would: (x) require the Company to file any registration statement with the Securities and Exchange Commission (or</w:t>
      </w:r>
    </w:p>
    <w:p>
      <w:pPr>
        <w:sectPr>
          <w:pgSz w:w="11900" w:h="16838" w:orient="portrait"/>
          <w:cols w:equalWidth="0" w:num="1">
            <w:col w:w="11240"/>
          </w:cols>
          <w:pgMar w:left="320" w:top="1395" w:right="339" w:bottom="1440" w:gutter="0" w:footer="0" w:header="0"/>
        </w:sectPr>
      </w:pPr>
    </w:p>
    <w:bookmarkStart w:id="110" w:name="page111"/>
    <w:bookmarkEnd w:id="110"/>
    <w:p>
      <w:pPr>
        <w:jc w:val="both"/>
        <w:spacing w:after="0" w:line="217" w:lineRule="auto"/>
        <w:rPr>
          <w:sz w:val="20"/>
          <w:szCs w:val="20"/>
          <w:color w:val="auto"/>
        </w:rPr>
      </w:pPr>
      <w:r>
        <w:rPr>
          <w:rFonts w:ascii="Times New Roman" w:cs="Times New Roman" w:eastAsia="Times New Roman" w:hAnsi="Times New Roman"/>
          <w:sz w:val="22"/>
          <w:szCs w:val="22"/>
          <w:color w:val="auto"/>
        </w:rPr>
        <w:t>any similar filing under state law or the laws of any other county) or to amend or supplement any such filing or (y) violate or cause the Company to violate the Securities Act of 1933, as amended, the Securities Exchange Act of 1934, as amended, the rules and regulations promulgated thereunder, or any other Federal, state or local law, or the laws of any other country. The Company reserves the right to place restrictions on any Shares the Grantee may receive as a result of the settlement of the Restricted Stock Units.</w:t>
      </w:r>
    </w:p>
    <w:p>
      <w:pPr>
        <w:spacing w:after="0" w:line="175" w:lineRule="exact"/>
        <w:rPr>
          <w:sz w:val="20"/>
          <w:szCs w:val="20"/>
          <w:color w:val="auto"/>
        </w:rPr>
      </w:pPr>
    </w:p>
    <w:p>
      <w:pPr>
        <w:ind w:left="2100" w:hanging="628"/>
        <w:spacing w:after="0"/>
        <w:tabs>
          <w:tab w:leader="none" w:pos="210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Amendment, and Termination of Restricted Stock Units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Except as set forth in Section 13(b) hereof, this Award Agreement may not be modified, amended, terminated and no provision hereof may be waived in whole or in part except by a written agreement signed by the Company and the Grantee and no modification shall, without the consent of the Grantee, alter to the Grantee’s material detriment or materially impair any rights of the Grantee under this Award Agreement except to the extent permitted under the Plan.</w:t>
      </w:r>
    </w:p>
    <w:p>
      <w:pPr>
        <w:spacing w:after="0" w:line="175" w:lineRule="exact"/>
        <w:rPr>
          <w:sz w:val="20"/>
          <w:szCs w:val="20"/>
          <w:color w:val="auto"/>
        </w:rPr>
      </w:pPr>
    </w:p>
    <w:p>
      <w:pPr>
        <w:ind w:left="2120" w:hanging="648"/>
        <w:spacing w:after="0"/>
        <w:tabs>
          <w:tab w:leader="none" w:pos="21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Unless otherwise provided herein, any notices or other communication given or made pursuant to the Notice, this Award Agreement or the Plan shall be in writing and shall be deemed to have been duly given (i) as of the date delivered, if personally delivered (including receipted courier service) or overnight delivery service, with confirmation of receipt; (ii) on the date of delivery by email to the address indicated or through an electronic administrative system designated by the Company; (iii) one</w:t>
      </w:r>
    </w:p>
    <w:p>
      <w:pPr>
        <w:spacing w:after="0" w:line="3" w:lineRule="exact"/>
        <w:rPr>
          <w:sz w:val="20"/>
          <w:szCs w:val="20"/>
          <w:color w:val="auto"/>
        </w:rPr>
      </w:pPr>
    </w:p>
    <w:p>
      <w:pPr>
        <w:jc w:val="both"/>
        <w:ind w:firstLine="8"/>
        <w:spacing w:after="0" w:line="204" w:lineRule="auto"/>
        <w:tabs>
          <w:tab w:leader="none" w:pos="31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after being sent by reputable commercial overnight delivery service courier, with confirmation of receipt; or (iv) three (3) business days after being mailed by registered or certified mail, return receipt requested, postage prepaid and addressed to the intended recipient as set forth below:</w:t>
      </w:r>
    </w:p>
    <w:p>
      <w:pPr>
        <w:spacing w:after="0" w:line="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at the address below:</w:t>
      </w:r>
    </w:p>
    <w:p>
      <w:pPr>
        <w:spacing w:after="0" w:line="16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Tradeweb Markets Inc.</w:t>
      </w:r>
    </w:p>
    <w:p>
      <w:pPr>
        <w:ind w:left="1960" w:right="6720"/>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1177 Avenue of the Americas New York, New York 10036</w:t>
      </w:r>
    </w:p>
    <w:p>
      <w:pPr>
        <w:spacing w:after="0" w:line="1" w:lineRule="exact"/>
        <w:rPr>
          <w:rFonts w:ascii="Times New Roman" w:cs="Times New Roman" w:eastAsia="Times New Roman" w:hAnsi="Times New Roman"/>
          <w:sz w:val="22"/>
          <w:szCs w:val="22"/>
          <w:color w:val="auto"/>
        </w:rPr>
      </w:pPr>
    </w:p>
    <w:p>
      <w:pPr>
        <w:ind w:left="19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Douglas Friedman, General Counsel</w:t>
      </w:r>
    </w:p>
    <w:p>
      <w:pPr>
        <w:ind w:left="196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Douglas.Friedman@tradeweb.com</w:t>
      </w:r>
    </w:p>
    <w:p>
      <w:pPr>
        <w:ind w:left="1940" w:hanging="636"/>
        <w:spacing w:after="0"/>
        <w:tabs>
          <w:tab w:leader="none" w:pos="194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Grantee, at the most recent address or email contained in the Company’s records.</w:t>
      </w:r>
    </w:p>
    <w:p>
      <w:pPr>
        <w:spacing w:after="0" w:line="178"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2"/>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Agreement Subject to Plan and Applicable Law</w:t>
      </w:r>
    </w:p>
    <w:p>
      <w:pPr>
        <w:spacing w:after="0" w:line="210" w:lineRule="exact"/>
        <w:rPr>
          <w:sz w:val="20"/>
          <w:szCs w:val="20"/>
          <w:color w:val="auto"/>
        </w:rPr>
      </w:pPr>
    </w:p>
    <w:p>
      <w:pPr>
        <w:jc w:val="both"/>
        <w:ind w:firstLine="1304"/>
        <w:spacing w:after="0" w:line="215" w:lineRule="auto"/>
        <w:tabs>
          <w:tab w:leader="none" w:pos="19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is made pursuant to the Plan and shall be interpreted to comply therewith. Any provision of this Award Agreement inconsistent with the Plan shall be considered void and replaced with the applicable provision of the Plan. The Plan shall control in the event there shall be any conflict between the Plan, the Notice, and this Award Agreement, and it shall control as to any matters not contained in this Award Agreement. The Committee shall have authority to construe this Award Agreement, and to correct any defect or supply any omission or reconcile any inconsistency in this Award Agreement, and to prescribe rules and regulations relating to the administration of this Award.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with respect to any Grantee resident outside of the U.S., if the application of the vesting provisions as set forth in Section 3 hereof are invalid or impracticable under applicable local law, the terms of Section 3 hereof shall either be amended or be deemed not to apply to such Grantee, as determined in the sole discretion of the</w:t>
      </w:r>
    </w:p>
    <w:p>
      <w:pPr>
        <w:sectPr>
          <w:pgSz w:w="11900" w:h="16838" w:orient="portrait"/>
          <w:cols w:equalWidth="0" w:num="1">
            <w:col w:w="11240"/>
          </w:cols>
          <w:pgMar w:left="320" w:top="1395" w:right="339" w:bottom="1440" w:gutter="0" w:footer="0" w:header="0"/>
        </w:sectPr>
      </w:pPr>
    </w:p>
    <w:bookmarkStart w:id="111" w:name="page112"/>
    <w:bookmarkEnd w:id="111"/>
    <w:p>
      <w:pPr>
        <w:spacing w:after="0" w:line="236" w:lineRule="auto"/>
        <w:rPr>
          <w:sz w:val="20"/>
          <w:szCs w:val="20"/>
          <w:color w:val="auto"/>
        </w:rPr>
      </w:pPr>
      <w:r>
        <w:rPr>
          <w:rFonts w:ascii="Times New Roman" w:cs="Times New Roman" w:eastAsia="Times New Roman" w:hAnsi="Times New Roman"/>
          <w:sz w:val="22"/>
          <w:szCs w:val="22"/>
          <w:color w:val="auto"/>
        </w:rPr>
        <w:t>Committee. All determinations made and actions taken with respect to this Section 13(b) shall be made in the sole discretion of the Committee.</w:t>
      </w:r>
    </w:p>
    <w:p>
      <w:pPr>
        <w:spacing w:after="0" w:line="177" w:lineRule="exact"/>
        <w:rPr>
          <w:sz w:val="20"/>
          <w:szCs w:val="20"/>
          <w:color w:val="auto"/>
        </w:rPr>
      </w:pPr>
    </w:p>
    <w:p>
      <w:pPr>
        <w:jc w:val="both"/>
        <w:ind w:firstLine="1304"/>
        <w:spacing w:after="0" w:line="220"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shall be governed by the laws of the State of Delaware, without regard to the conflicts of law principles thereof, and subject to the exclusive jurisdiction of the courts therein. The Grantee hereby consents to personal jurisdiction in any action brought in any court, federal or state, within the State of Delaware having subject matter jurisdiction in the matter.</w:t>
      </w:r>
    </w:p>
    <w:p>
      <w:pPr>
        <w:spacing w:after="0" w:line="175" w:lineRule="exact"/>
        <w:rPr>
          <w:rFonts w:ascii="Times New Roman" w:cs="Times New Roman" w:eastAsia="Times New Roman" w:hAnsi="Times New Roman"/>
          <w:sz w:val="22"/>
          <w:szCs w:val="22"/>
          <w:color w:val="auto"/>
        </w:rPr>
      </w:pPr>
    </w:p>
    <w:p>
      <w:pPr>
        <w:ind w:left="2120" w:hanging="648"/>
        <w:spacing w:after="0"/>
        <w:tabs>
          <w:tab w:leader="none" w:pos="2120" w:val="left"/>
        </w:tabs>
        <w:numPr>
          <w:ilvl w:val="1"/>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10"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The Restricted Stock Units are intended to be compliant with Section 409A of the Code and, accordingly, to the maximum extent permitted, this Award Agreement shall be interpreted in a manner consistent therewith. Nothing contained herein shall constitute any representation or warranty by the Company regarding compliance with Section 409A of the Code. The Company shall have no obligation to take any action to prevent the assessment of any additional income tax, interest or penalties under Section 409A of the Code on any Person and none of the Company, its Subsidiaries or Affiliates, nor any of their respective employees or representatives, shall have any liability to the Grantee with respect thereto.</w:t>
      </w:r>
    </w:p>
    <w:p>
      <w:pPr>
        <w:spacing w:after="0" w:line="5" w:lineRule="exact"/>
        <w:rPr>
          <w:sz w:val="20"/>
          <w:szCs w:val="20"/>
          <w:color w:val="auto"/>
        </w:rPr>
      </w:pPr>
    </w:p>
    <w:p>
      <w:pPr>
        <w:ind w:left="2120" w:hanging="648"/>
        <w:spacing w:after="0"/>
        <w:tabs>
          <w:tab w:leader="none" w:pos="21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 and Capitalized Terms</w:t>
      </w:r>
    </w:p>
    <w:p>
      <w:pPr>
        <w:spacing w:after="0" w:line="18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Unless otherwise provided herein, capitalized terms used herein that are defined in the Plan and not defined herein shall have the meanings set forth in the Plan. Headings are for convenience only and are not deemed to be part of this Award Agreement. Unless otherwise indicated, any reference to a Section herein is a reference to a Section of this Award Agreement.</w:t>
      </w:r>
    </w:p>
    <w:p>
      <w:pPr>
        <w:spacing w:after="0" w:line="2" w:lineRule="exact"/>
        <w:rPr>
          <w:sz w:val="20"/>
          <w:szCs w:val="20"/>
          <w:color w:val="auto"/>
        </w:rPr>
      </w:pPr>
    </w:p>
    <w:p>
      <w:pPr>
        <w:ind w:left="2120" w:hanging="648"/>
        <w:spacing w:after="0"/>
        <w:tabs>
          <w:tab w:leader="none" w:pos="212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 and Reformation</w:t>
      </w:r>
    </w:p>
    <w:p>
      <w:pPr>
        <w:spacing w:after="0" w:line="18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If any provision of this Award Agreement shall be determined by a court of law of competent jurisdiction to be unenforceable for any reason, such unenforceability shall not affect the enforceability of any of the remaining provisions hereof. In that case, this Award Agreement, to the fullest extent lawful, shall be reformed and construed as if such unenforceable provision, or part thereof, had never been contained herein, and such provision or part thereof shall be reformed or construed so that it would be enforceable to the maximum extent legally possible.</w:t>
      </w:r>
    </w:p>
    <w:p>
      <w:pPr>
        <w:spacing w:after="0" w:line="175" w:lineRule="exact"/>
        <w:rPr>
          <w:sz w:val="20"/>
          <w:szCs w:val="20"/>
          <w:color w:val="auto"/>
        </w:rPr>
      </w:pPr>
    </w:p>
    <w:p>
      <w:pPr>
        <w:ind w:left="2120" w:hanging="648"/>
        <w:spacing w:after="0"/>
        <w:tabs>
          <w:tab w:leader="none" w:pos="212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Award Agreement shall be binding upon the parties hereto, together with their personal executors, administrator, successors, personal representatives, heirs and permitted assigns.</w:t>
      </w:r>
    </w:p>
    <w:p>
      <w:pPr>
        <w:spacing w:after="0" w:line="173" w:lineRule="exact"/>
        <w:rPr>
          <w:sz w:val="20"/>
          <w:szCs w:val="20"/>
          <w:color w:val="auto"/>
        </w:rPr>
      </w:pPr>
    </w:p>
    <w:p>
      <w:pPr>
        <w:ind w:left="2120" w:hanging="648"/>
        <w:spacing w:after="0"/>
        <w:tabs>
          <w:tab w:leader="none" w:pos="212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This Award Agreement, together with the Plan, supersedes all prior written and oral agreements and understandings among the parties as to its subject matter and constitutes the entire agreement of the parties with respect to the subject matter hereof. If there is any conflict between the Notice, this Award Agreement and the Plan, then the applicable terms of the Plan shall govern.</w:t>
      </w:r>
    </w:p>
    <w:p>
      <w:pPr>
        <w:spacing w:after="0" w:line="2" w:lineRule="exact"/>
        <w:rPr>
          <w:sz w:val="20"/>
          <w:szCs w:val="20"/>
          <w:color w:val="auto"/>
        </w:rPr>
      </w:pPr>
    </w:p>
    <w:p>
      <w:pPr>
        <w:ind w:left="2120" w:hanging="648"/>
        <w:spacing w:after="0"/>
        <w:tabs>
          <w:tab w:leader="none" w:pos="212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8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Waiver by any party of any breach of this Award Agreement or failure to exercise any right hereunder shall not be deemed to be a waiver of any other breach or right whether or not of the same or a similar nature. The failure of any party to take action by reason of such breach or to</w:t>
      </w:r>
    </w:p>
    <w:p>
      <w:pPr>
        <w:sectPr>
          <w:pgSz w:w="11900" w:h="16838" w:orient="portrait"/>
          <w:cols w:equalWidth="0" w:num="1">
            <w:col w:w="11240"/>
          </w:cols>
          <w:pgMar w:left="320" w:top="1395" w:right="339" w:bottom="1440" w:gutter="0" w:footer="0" w:header="0"/>
        </w:sectPr>
      </w:pPr>
    </w:p>
    <w:bookmarkStart w:id="112" w:name="page113"/>
    <w:bookmarkEnd w:id="112"/>
    <w:p>
      <w:pPr>
        <w:spacing w:after="0" w:line="236" w:lineRule="auto"/>
        <w:rPr>
          <w:sz w:val="20"/>
          <w:szCs w:val="20"/>
          <w:color w:val="auto"/>
        </w:rPr>
      </w:pPr>
      <w:r>
        <w:rPr>
          <w:rFonts w:ascii="Times New Roman" w:cs="Times New Roman" w:eastAsia="Times New Roman" w:hAnsi="Times New Roman"/>
          <w:sz w:val="22"/>
          <w:szCs w:val="22"/>
          <w:color w:val="auto"/>
        </w:rPr>
        <w:t>exercise any such right shall not deprive the party of the right to take action at any time while or after such breach or condition giving rise to such rights continues.</w:t>
      </w:r>
    </w:p>
    <w:p>
      <w:pPr>
        <w:sectPr>
          <w:pgSz w:w="11900" w:h="16838" w:orient="portrait"/>
          <w:cols w:equalWidth="0" w:num="1">
            <w:col w:w="11240"/>
          </w:cols>
          <w:pgMar w:left="320" w:top="139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2023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27,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31, 2023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27, 2023</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2023,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27, 2023</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March 31, 2023,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April 27,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endash "/>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1)"/>
      <w:numFmt w:val="decimal"/>
      <w:start w:val="1"/>
    </w:lvl>
  </w:abstractNum>
  <w:abstractNum w:abstractNumId="16">
    <w:nsid w:val="76272110"/>
    <w:multiLevelType w:val="hybridMultilevel"/>
    <w:lvl w:ilvl="0">
      <w:lvlJc w:val="left"/>
      <w:lvlText w:val="%1."/>
      <w:numFmt w:val="decimal"/>
      <w:start w:val="11"/>
    </w:lvl>
  </w:abstractNum>
  <w:abstractNum w:abstractNumId="17">
    <w:nsid w:val="4C04A8AF"/>
    <w:multiLevelType w:val="hybridMultilevel"/>
    <w:lvl w:ilvl="0">
      <w:lvlJc w:val="left"/>
      <w:lvlText w:val="%1."/>
      <w:numFmt w:val="decimal"/>
      <w:start w:val="1"/>
    </w:lvl>
  </w:abstractNum>
  <w:abstractNum w:abstractNumId="18">
    <w:nsid w:val="1716703B"/>
    <w:multiLevelType w:val="hybridMultilevel"/>
    <w:lvl w:ilvl="0">
      <w:lvlJc w:val="left"/>
      <w:lvlText w:val="(%1)"/>
      <w:numFmt w:val="decimal"/>
      <w:start w:val="1"/>
    </w:lvl>
  </w:abstractNum>
  <w:abstractNum w:abstractNumId="19">
    <w:nsid w:val="14E17E33"/>
    <w:multiLevelType w:val="hybridMultilevel"/>
    <w:lvl w:ilvl="0">
      <w:lvlJc w:val="left"/>
      <w:lvlText w:val="(%1)"/>
      <w:numFmt w:val="decimal"/>
      <w:start w:val="1"/>
    </w:lvl>
  </w:abstractNum>
  <w:abstractNum w:abstractNumId="20">
    <w:nsid w:val="3222E7CD"/>
    <w:multiLevelType w:val="hybridMultilevel"/>
    <w:lvl w:ilvl="0">
      <w:lvlJc w:val="left"/>
      <w:lvlText w:val="(%1)"/>
      <w:numFmt w:val="decimal"/>
      <w:start w:val="1"/>
    </w:lvl>
  </w:abstractNum>
  <w:abstractNum w:abstractNumId="21">
    <w:nsid w:val="74DE0EE3"/>
    <w:multiLevelType w:val="hybridMultilevel"/>
    <w:lvl w:ilvl="0">
      <w:lvlJc w:val="left"/>
      <w:lvlText w:val="(%1)"/>
      <w:numFmt w:val="decimal"/>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1)"/>
      <w:numFmt w:val="decimal"/>
      <w:start w:val="1"/>
    </w:lvl>
  </w:abstractNum>
  <w:abstractNum w:abstractNumId="24">
    <w:nsid w:val="46B7D447"/>
    <w:multiLevelType w:val="hybridMultilevel"/>
    <w:lvl w:ilvl="0">
      <w:lvlJc w:val="left"/>
      <w:lvlText w:val="(%1)"/>
      <w:numFmt w:val="decimal"/>
      <w:start w:val="1"/>
    </w:lvl>
  </w:abstractNum>
  <w:abstractNum w:abstractNumId="25">
    <w:nsid w:val="4A2AC315"/>
    <w:multiLevelType w:val="hybridMultilevel"/>
    <w:lvl w:ilvl="0">
      <w:lvlJc w:val="left"/>
      <w:lvlText w:val="(%1)"/>
      <w:numFmt w:val="decimal"/>
      <w:start w:val="1"/>
    </w:lvl>
  </w:abstractNum>
  <w:abstractNum w:abstractNumId="26">
    <w:nsid w:val="39EE015C"/>
    <w:multiLevelType w:val="hybridMultilevel"/>
    <w:lvl w:ilvl="0">
      <w:lvlJc w:val="left"/>
      <w:lvlText w:val="(%1)"/>
      <w:numFmt w:val="decimal"/>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1)"/>
      <w:numFmt w:val="decimal"/>
      <w:start w:val="1"/>
    </w:lvl>
  </w:abstractNum>
  <w:abstractNum w:abstractNumId="30">
    <w:nsid w:val="60EF0119"/>
    <w:multiLevelType w:val="hybridMultilevel"/>
    <w:lvl w:ilvl="0">
      <w:lvlJc w:val="left"/>
      <w:lvlText w:val="(%1)"/>
      <w:numFmt w:val="decimal"/>
      <w:start w:val="1"/>
    </w:lvl>
  </w:abstractNum>
  <w:abstractNum w:abstractNumId="31">
    <w:nsid w:val="26F324BA"/>
    <w:multiLevelType w:val="hybridMultilevel"/>
    <w:lvl w:ilvl="0">
      <w:lvlJc w:val="left"/>
      <w:lvlText w:val="*"/>
      <w:numFmt w:val="bullet"/>
      <w:start w:val="1"/>
    </w:lvl>
    <w:lvl w:ilvl="1">
      <w:lvlJc w:val="left"/>
      <w:lvlText w:val="%2"/>
      <w:numFmt w:val="decimal"/>
      <w:start w:val="104"/>
    </w:lvl>
  </w:abstractNum>
  <w:abstractNum w:abstractNumId="32">
    <w:nsid w:val="7F01579B"/>
    <w:multiLevelType w:val="hybridMultilevel"/>
    <w:lvl w:ilvl="0">
      <w:lvlJc w:val="left"/>
      <w:lvlText w:val="**"/>
      <w:numFmt w:val="bullet"/>
      <w:start w:val="1"/>
    </w:lvl>
    <w:lvl w:ilvl="1">
      <w:lvlJc w:val="left"/>
      <w:lvlText w:val="%2"/>
      <w:numFmt w:val="decimal"/>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1."/>
      <w:numFmt w:val="decimal"/>
      <w:start w:val="1"/>
    </w:lvl>
  </w:abstractNum>
  <w:abstractNum w:abstractNumId="35">
    <w:nsid w:val="5FB8370B"/>
    <w:multiLevelType w:val="hybridMultilevel"/>
    <w:lvl w:ilvl="0">
      <w:lvlJc w:val="left"/>
      <w:lvlText w:val="%1."/>
      <w:numFmt w:val="decimal"/>
      <w:start w:val="2"/>
    </w:lvl>
  </w:abstractNum>
  <w:abstractNum w:abstractNumId="36">
    <w:nsid w:val="50801EE1"/>
    <w:multiLevelType w:val="hybridMultilevel"/>
    <w:lvl w:ilvl="0">
      <w:lvlJc w:val="left"/>
      <w:lvlText w:val="%1."/>
      <w:numFmt w:val="decimal"/>
      <w:start w:val="3"/>
    </w:lvl>
  </w:abstractNum>
  <w:abstractNum w:abstractNumId="37">
    <w:nsid w:val="488AC1A"/>
    <w:multiLevelType w:val="hybridMultilevel"/>
    <w:lvl w:ilvl="0">
      <w:lvlJc w:val="left"/>
      <w:lvlText w:val="(%1)"/>
      <w:numFmt w:val="lowerLetter"/>
      <w:start w:val="1"/>
    </w:lvl>
  </w:abstractNum>
  <w:abstractNum w:abstractNumId="38">
    <w:nsid w:val="5FB8011C"/>
    <w:multiLevelType w:val="hybridMultilevel"/>
    <w:lvl w:ilvl="0">
      <w:lvlJc w:val="left"/>
      <w:lvlText w:val="(%1)"/>
      <w:numFmt w:val="lowerLetter"/>
      <w:start w:val="4"/>
    </w:lvl>
  </w:abstractNum>
  <w:abstractNum w:abstractNumId="39">
    <w:nsid w:val="6AA78F7F"/>
    <w:multiLevelType w:val="hybridMultilevel"/>
    <w:lvl w:ilvl="0">
      <w:lvlJc w:val="left"/>
      <w:lvlText w:val="%1."/>
      <w:numFmt w:val="decimal"/>
      <w:start w:val="4"/>
    </w:lvl>
  </w:abstractNum>
  <w:abstractNum w:abstractNumId="40">
    <w:nsid w:val="7672BD23"/>
    <w:multiLevelType w:val="hybridMultilevel"/>
    <w:lvl w:ilvl="0">
      <w:lvlJc w:val="left"/>
      <w:lvlText w:val="%1."/>
      <w:numFmt w:val="decimal"/>
      <w:start w:val="5"/>
    </w:lvl>
  </w:abstractNum>
  <w:abstractNum w:abstractNumId="41">
    <w:nsid w:val="6FC75AF8"/>
    <w:multiLevelType w:val="hybridMultilevel"/>
    <w:lvl w:ilvl="0">
      <w:lvlJc w:val="left"/>
      <w:lvlText w:val="(%1)"/>
      <w:numFmt w:val="lowerLetter"/>
      <w:start w:val="1"/>
    </w:lvl>
  </w:abstractNum>
  <w:abstractNum w:abstractNumId="42">
    <w:nsid w:val="6A5F7029"/>
    <w:multiLevelType w:val="hybridMultilevel"/>
    <w:lvl w:ilvl="0">
      <w:lvlJc w:val="left"/>
      <w:lvlText w:val="%1."/>
      <w:numFmt w:val="decimal"/>
      <w:start w:val="6"/>
    </w:lvl>
  </w:abstractNum>
  <w:abstractNum w:abstractNumId="43">
    <w:nsid w:val="7D5E18F8"/>
    <w:multiLevelType w:val="hybridMultilevel"/>
    <w:lvl w:ilvl="0">
      <w:lvlJc w:val="left"/>
      <w:lvlText w:val="%1"/>
      <w:numFmt w:val="lowerLetter"/>
      <w:start w:val="1"/>
    </w:lvl>
    <w:lvl w:ilvl="1">
      <w:lvlJc w:val="left"/>
      <w:lvlText w:val="%2."/>
      <w:numFmt w:val="decimal"/>
      <w:start w:val="7"/>
    </w:lvl>
  </w:abstractNum>
  <w:abstractNum w:abstractNumId="44">
    <w:nsid w:val="5F3534A4"/>
    <w:multiLevelType w:val="hybridMultilevel"/>
    <w:lvl w:ilvl="0">
      <w:lvlJc w:val="left"/>
      <w:lvlText w:val="(%1)"/>
      <w:numFmt w:val="lowerLetter"/>
      <w:start w:val="1"/>
    </w:lvl>
    <w:lvl w:ilvl="1">
      <w:lvlJc w:val="left"/>
      <w:lvlText w:val="%2."/>
      <w:numFmt w:val="decimal"/>
      <w:start w:val="8"/>
    </w:lvl>
  </w:abstractNum>
  <w:abstractNum w:abstractNumId="45">
    <w:nsid w:val="73A1821B"/>
    <w:multiLevelType w:val="hybridMultilevel"/>
    <w:lvl w:ilvl="0">
      <w:lvlJc w:val="left"/>
      <w:lvlText w:val="%1."/>
      <w:numFmt w:val="decimal"/>
      <w:start w:val="9"/>
    </w:lvl>
  </w:abstractNum>
  <w:abstractNum w:abstractNumId="46">
    <w:nsid w:val="7DE67713"/>
    <w:multiLevelType w:val="hybridMultilevel"/>
    <w:lvl w:ilvl="0">
      <w:lvlJc w:val="left"/>
      <w:lvlText w:val="%1."/>
      <w:numFmt w:val="decimal"/>
      <w:start w:val="10"/>
    </w:lvl>
  </w:abstractNum>
  <w:abstractNum w:abstractNumId="47">
    <w:nsid w:val="555C55B5"/>
    <w:multiLevelType w:val="hybridMultilevel"/>
    <w:lvl w:ilvl="0">
      <w:lvlJc w:val="left"/>
      <w:lvlText w:val="%1."/>
      <w:numFmt w:val="decimal"/>
      <w:start w:val="11"/>
    </w:lvl>
  </w:abstractNum>
  <w:abstractNum w:abstractNumId="48">
    <w:nsid w:val="3FA62ACA"/>
    <w:multiLevelType w:val="hybridMultilevel"/>
    <w:lvl w:ilvl="0">
      <w:lvlJc w:val="left"/>
      <w:lvlText w:val="%1."/>
      <w:numFmt w:val="decimal"/>
      <w:start w:val="12"/>
    </w:lvl>
  </w:abstractNum>
  <w:abstractNum w:abstractNumId="49">
    <w:nsid w:val="14FCE74E"/>
    <w:multiLevelType w:val="hybridMultilevel"/>
    <w:lvl w:ilvl="0">
      <w:lvlJc w:val="left"/>
      <w:lvlText w:val="(%1)"/>
      <w:numFmt w:val="decimal"/>
      <w:start w:val="1"/>
    </w:lvl>
    <w:lvl w:ilvl="1">
      <w:lvlJc w:val="left"/>
      <w:lvlText w:val="(%2)"/>
      <w:numFmt w:val="lowerLetter"/>
      <w:start w:val="1"/>
    </w:lvl>
  </w:abstractNum>
  <w:abstractNum w:abstractNumId="50">
    <w:nsid w:val="6A3DD3E8"/>
    <w:multiLevelType w:val="hybridMultilevel"/>
    <w:lvl w:ilvl="0">
      <w:lvlJc w:val="left"/>
      <w:lvlText w:val="(%1)"/>
      <w:numFmt w:val="lowerLetter"/>
      <w:start w:val="2"/>
    </w:lvl>
    <w:lvl w:ilvl="1">
      <w:lvlJc w:val="left"/>
      <w:lvlText w:val="%2."/>
      <w:numFmt w:val="decimal"/>
      <w:start w:val="13"/>
    </w:lvl>
  </w:abstractNum>
  <w:abstractNum w:abstractNumId="51">
    <w:nsid w:val="71C91298"/>
    <w:multiLevelType w:val="hybridMultilevel"/>
    <w:lvl w:ilvl="0">
      <w:lvlJc w:val="left"/>
      <w:lvlText w:val="(%1)"/>
      <w:numFmt w:val="lowerLetter"/>
      <w:start w:val="1"/>
    </w:lvl>
    <w:lvl w:ilvl="1">
      <w:lvlJc w:val="left"/>
      <w:lvlText w:val="%2."/>
      <w:numFmt w:val="decimal"/>
      <w:start w:val="14"/>
    </w:lvl>
  </w:abstractNum>
  <w:abstractNum w:abstractNumId="52">
    <w:nsid w:val="9DAF632"/>
    <w:multiLevelType w:val="hybridMultilevel"/>
    <w:lvl w:ilvl="0">
      <w:lvlJc w:val="left"/>
      <w:lvlText w:val="%1."/>
      <w:numFmt w:val="decimal"/>
      <w:start w:val="15"/>
    </w:lvl>
  </w:abstractNum>
  <w:abstractNum w:abstractNumId="53">
    <w:nsid w:val="53299938"/>
    <w:multiLevelType w:val="hybridMultilevel"/>
    <w:lvl w:ilvl="0">
      <w:lvlJc w:val="left"/>
      <w:lvlText w:val="%1."/>
      <w:numFmt w:val="decimal"/>
      <w:start w:val="16"/>
    </w:lvl>
  </w:abstractNum>
  <w:abstractNum w:abstractNumId="54">
    <w:nsid w:val="1FBFE8E0"/>
    <w:multiLevelType w:val="hybridMultilevel"/>
    <w:lvl w:ilvl="0">
      <w:lvlJc w:val="left"/>
      <w:lvlText w:val="%1."/>
      <w:numFmt w:val="decimal"/>
      <w:start w:val="17"/>
    </w:lvl>
  </w:abstractNum>
  <w:abstractNum w:abstractNumId="55">
    <w:nsid w:val="5092CA79"/>
    <w:multiLevelType w:val="hybridMultilevel"/>
    <w:lvl w:ilvl="0">
      <w:lvlJc w:val="left"/>
      <w:lvlText w:val="%1."/>
      <w:numFmt w:val="decimal"/>
      <w:start w:val="18"/>
    </w:lvl>
  </w:abstractNum>
  <w:abstractNum w:abstractNumId="56">
    <w:nsid w:val="1D545C4D"/>
    <w:multiLevelType w:val="hybridMultilevel"/>
    <w:lvl w:ilvl="0">
      <w:lvlJc w:val="left"/>
      <w:lvlText w:val="%1."/>
      <w:numFmt w:val="decimal"/>
      <w:start w:val="19"/>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decimal"/>
      <w:start w:val="2"/>
    </w:lvl>
  </w:abstractNum>
  <w:abstractNum w:abstractNumId="60">
    <w:nsid w:val="1D9F6E5F"/>
    <w:multiLevelType w:val="hybridMultilevel"/>
    <w:lvl w:ilvl="0">
      <w:lvlJc w:val="left"/>
      <w:lvlText w:val="%1."/>
      <w:numFmt w:val="decimal"/>
      <w:start w:val="3"/>
    </w:lvl>
  </w:abstractNum>
  <w:abstractNum w:abstractNumId="61">
    <w:nsid w:val="97E1B4E"/>
    <w:multiLevelType w:val="hybridMultilevel"/>
    <w:lvl w:ilvl="0">
      <w:lvlJc w:val="left"/>
      <w:lvlText w:val="(%1)"/>
      <w:numFmt w:val="lowerLetter"/>
      <w:start w:val="1"/>
    </w:lvl>
  </w:abstractNum>
  <w:abstractNum w:abstractNumId="62">
    <w:nsid w:val="51088277"/>
    <w:multiLevelType w:val="hybridMultilevel"/>
    <w:lvl w:ilvl="0">
      <w:lvlJc w:val="left"/>
      <w:lvlText w:val="(%1)"/>
      <w:numFmt w:val="lowerLetter"/>
      <w:start w:val="4"/>
    </w:lvl>
  </w:abstractNum>
  <w:abstractNum w:abstractNumId="63">
    <w:nsid w:val="1CA0C5FA"/>
    <w:multiLevelType w:val="hybridMultilevel"/>
    <w:lvl w:ilvl="0">
      <w:lvlJc w:val="left"/>
      <w:lvlText w:val="%1."/>
      <w:numFmt w:val="decimal"/>
      <w:start w:val="4"/>
    </w:lvl>
  </w:abstractNum>
  <w:abstractNum w:abstractNumId="64">
    <w:nsid w:val="53584BCB"/>
    <w:multiLevelType w:val="hybridMultilevel"/>
    <w:lvl w:ilvl="0">
      <w:lvlJc w:val="left"/>
      <w:lvlText w:val="%1."/>
      <w:numFmt w:val="decimal"/>
      <w:start w:val="5"/>
    </w:lvl>
  </w:abstractNum>
  <w:abstractNum w:abstractNumId="65">
    <w:nsid w:val="415E286C"/>
    <w:multiLevelType w:val="hybridMultilevel"/>
    <w:lvl w:ilvl="0">
      <w:lvlJc w:val="left"/>
      <w:lvlText w:val="(%1)"/>
      <w:numFmt w:val="lowerLetter"/>
      <w:start w:val="1"/>
    </w:lvl>
  </w:abstractNum>
  <w:abstractNum w:abstractNumId="66">
    <w:nsid w:val="7C58FD05"/>
    <w:multiLevelType w:val="hybridMultilevel"/>
    <w:lvl w:ilvl="0">
      <w:lvlJc w:val="left"/>
      <w:lvlText w:val="(%1)"/>
      <w:numFmt w:val="lowerLetter"/>
      <w:start w:val="2"/>
    </w:lvl>
    <w:lvl w:ilvl="1">
      <w:lvlJc w:val="left"/>
      <w:lvlText w:val="%2."/>
      <w:numFmt w:val="decimal"/>
      <w:start w:val="6"/>
    </w:lvl>
  </w:abstractNum>
  <w:abstractNum w:abstractNumId="67">
    <w:nsid w:val="23D86AA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abstractNum>
  <w:abstractNum w:abstractNumId="68">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9">
    <w:nsid w:val="5C10FE21"/>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8"/>
    </w:lvl>
  </w:abstractNum>
  <w:abstractNum w:abstractNumId="70">
    <w:nsid w:val="E7FFA2B"/>
    <w:multiLevelType w:val="hybridMultilevel"/>
    <w:lvl w:ilvl="0">
      <w:lvlJc w:val="left"/>
      <w:lvlText w:val="%1."/>
      <w:numFmt w:val="decimal"/>
      <w:start w:val="9"/>
    </w:lvl>
  </w:abstractNum>
  <w:abstractNum w:abstractNumId="71">
    <w:nsid w:val="3C5991AA"/>
    <w:multiLevelType w:val="hybridMultilevel"/>
    <w:lvl w:ilvl="0">
      <w:lvlJc w:val="left"/>
      <w:lvlText w:val="%1."/>
      <w:numFmt w:val="decimal"/>
      <w:start w:val="10"/>
    </w:lvl>
  </w:abstractNum>
  <w:abstractNum w:abstractNumId="72">
    <w:nsid w:val="4BD8591A"/>
    <w:multiLevelType w:val="hybridMultilevel"/>
    <w:lvl w:ilvl="0">
      <w:lvlJc w:val="left"/>
      <w:lvlText w:val="%1."/>
      <w:numFmt w:val="decimal"/>
      <w:start w:val="11"/>
    </w:lvl>
  </w:abstractNum>
  <w:abstractNum w:abstractNumId="73">
    <w:nsid w:val="78DF6A55"/>
    <w:multiLevelType w:val="hybridMultilevel"/>
    <w:lvl w:ilvl="0">
      <w:lvlJc w:val="left"/>
      <w:lvlText w:val="%1."/>
      <w:numFmt w:val="decimal"/>
      <w:start w:val="12"/>
    </w:lvl>
  </w:abstractNum>
  <w:abstractNum w:abstractNumId="74">
    <w:nsid w:val="39B7AAA2"/>
    <w:multiLevelType w:val="hybridMultilevel"/>
    <w:lvl w:ilvl="0">
      <w:lvlJc w:val="left"/>
      <w:lvlText w:val="(%1)"/>
      <w:numFmt w:val="decimal"/>
      <w:start w:val="1"/>
    </w:lvl>
  </w:abstractNum>
  <w:abstractNum w:abstractNumId="75">
    <w:nsid w:val="2B0D8DBE"/>
    <w:multiLevelType w:val="hybridMultilevel"/>
    <w:lvl w:ilvl="0">
      <w:lvlJc w:val="left"/>
      <w:lvlText w:val="(%1)"/>
      <w:numFmt w:val="lowerLetter"/>
      <w:start w:val="1"/>
    </w:lvl>
    <w:lvl w:ilvl="1">
      <w:lvlJc w:val="left"/>
      <w:lvlText w:val="%2."/>
      <w:numFmt w:val="decimal"/>
      <w:start w:val="13"/>
    </w:lvl>
  </w:abstractNum>
  <w:abstractNum w:abstractNumId="76">
    <w:nsid w:val="6C80EC70"/>
    <w:multiLevelType w:val="hybridMultilevel"/>
    <w:lvl w:ilvl="0">
      <w:lvlJc w:val="left"/>
      <w:lvlText w:val="(%1)"/>
      <w:numFmt w:val="lowerLetter"/>
      <w:start w:val="1"/>
    </w:lvl>
    <w:lvl w:ilvl="1">
      <w:lvlJc w:val="left"/>
      <w:lvlText w:val="%2."/>
      <w:numFmt w:val="decimal"/>
      <w:start w:val="14"/>
    </w:lvl>
  </w:abstractNum>
  <w:abstractNum w:abstractNumId="77">
    <w:nsid w:val="379E21B5"/>
    <w:multiLevelType w:val="hybridMultilevel"/>
    <w:lvl w:ilvl="0">
      <w:lvlJc w:val="left"/>
      <w:lvlText w:val="%1."/>
      <w:numFmt w:val="decimal"/>
      <w:start w:val="15"/>
    </w:lvl>
  </w:abstractNum>
  <w:abstractNum w:abstractNumId="78">
    <w:nsid w:val="69E373"/>
    <w:multiLevelType w:val="hybridMultilevel"/>
    <w:lvl w:ilvl="0">
      <w:lvlJc w:val="left"/>
      <w:lvlText w:val="%1."/>
      <w:numFmt w:val="decimal"/>
      <w:start w:val="16"/>
    </w:lvl>
  </w:abstractNum>
  <w:abstractNum w:abstractNumId="79">
    <w:nsid w:val="2C27173B"/>
    <w:multiLevelType w:val="hybridMultilevel"/>
    <w:lvl w:ilvl="0">
      <w:lvlJc w:val="left"/>
      <w:lvlText w:val="%1."/>
      <w:numFmt w:val="decimal"/>
      <w:start w:val="17"/>
    </w:lvl>
  </w:abstractNum>
  <w:abstractNum w:abstractNumId="80">
    <w:nsid w:val="4C9B0904"/>
    <w:multiLevelType w:val="hybridMultilevel"/>
    <w:lvl w:ilvl="0">
      <w:lvlJc w:val="left"/>
      <w:lvlText w:val="%1."/>
      <w:numFmt w:val="decimal"/>
      <w:start w:val="18"/>
    </w:lvl>
  </w:abstractNum>
  <w:abstractNum w:abstractNumId="81">
    <w:nsid w:val="6AA7B75C"/>
    <w:multiLevelType w:val="hybridMultilevel"/>
    <w:lvl w:ilvl="0">
      <w:lvlJc w:val="left"/>
      <w:lvlText w:val="%1."/>
      <w:numFmt w:val="decimal"/>
      <w:start w:val="19"/>
    </w:lvl>
  </w:abstractNum>
  <w:abstractNum w:abstractNumId="82">
    <w:nsid w:val="1DF029D3"/>
    <w:multiLevelType w:val="hybridMultilevel"/>
    <w:lvl w:ilvl="0">
      <w:lvlJc w:val="left"/>
      <w:lvlText w:val="%1."/>
      <w:numFmt w:val="decimal"/>
      <w:start w:val="1"/>
    </w:lvl>
  </w:abstractNum>
  <w:abstractNum w:abstractNumId="83">
    <w:nsid w:val="5675FF36"/>
    <w:multiLevelType w:val="hybridMultilevel"/>
    <w:lvl w:ilvl="0">
      <w:lvlJc w:val="left"/>
      <w:lvlText w:val="%1."/>
      <w:numFmt w:val="decimal"/>
      <w:start w:val="2"/>
    </w:lvl>
  </w:abstractNum>
  <w:abstractNum w:abstractNumId="84">
    <w:nsid w:val="3DD15094"/>
    <w:multiLevelType w:val="hybridMultilevel"/>
    <w:lvl w:ilvl="0">
      <w:lvlJc w:val="left"/>
      <w:lvlText w:val="%1."/>
      <w:numFmt w:val="decimal"/>
      <w:start w:val="3"/>
    </w:lvl>
  </w:abstractNum>
  <w:abstractNum w:abstractNumId="85">
    <w:nsid w:val="3DB012B3"/>
    <w:multiLevelType w:val="hybridMultilevel"/>
    <w:lvl w:ilvl="0">
      <w:lvlJc w:val="left"/>
      <w:lvlText w:val="(%1)"/>
      <w:numFmt w:val="lowerLetter"/>
      <w:start w:val="1"/>
    </w:lvl>
  </w:abstractNum>
  <w:abstractNum w:abstractNumId="86">
    <w:nsid w:val="2708C9AF"/>
    <w:multiLevelType w:val="hybridMultilevel"/>
    <w:lvl w:ilvl="0">
      <w:lvlJc w:val="left"/>
      <w:lvlText w:val="(%1)"/>
      <w:numFmt w:val="lowerLetter"/>
      <w:start w:val="4"/>
    </w:lvl>
  </w:abstractNum>
  <w:abstractNum w:abstractNumId="87">
    <w:nsid w:val="5B25ACE2"/>
    <w:multiLevelType w:val="hybridMultilevel"/>
    <w:lvl w:ilvl="0">
      <w:lvlJc w:val="left"/>
      <w:lvlText w:val="%1."/>
      <w:numFmt w:val="decimal"/>
      <w:start w:val="4"/>
    </w:lvl>
  </w:abstractNum>
  <w:abstractNum w:abstractNumId="88">
    <w:nsid w:val="175DFCF0"/>
    <w:multiLevelType w:val="hybridMultilevel"/>
    <w:lvl w:ilvl="0">
      <w:lvlJc w:val="left"/>
      <w:lvlText w:val="%1."/>
      <w:numFmt w:val="decimal"/>
      <w:start w:val="5"/>
    </w:lvl>
  </w:abstractNum>
  <w:abstractNum w:abstractNumId="89">
    <w:nsid w:val="4F97E3E4"/>
    <w:multiLevelType w:val="hybridMultilevel"/>
    <w:lvl w:ilvl="0">
      <w:lvlJc w:val="left"/>
      <w:lvlText w:val="(%1)"/>
      <w:numFmt w:val="lowerLetter"/>
      <w:start w:val="1"/>
    </w:lvl>
  </w:abstractNum>
  <w:abstractNum w:abstractNumId="90">
    <w:nsid w:val="53B0A9E"/>
    <w:multiLevelType w:val="hybridMultilevel"/>
    <w:lvl w:ilvl="0">
      <w:lvlJc w:val="left"/>
      <w:lvlText w:val="%1."/>
      <w:numFmt w:val="decimal"/>
      <w:start w:val="6"/>
    </w:lvl>
  </w:abstractNum>
  <w:abstractNum w:abstractNumId="91">
    <w:nsid w:val="34FD6B4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abstractNum>
  <w:abstractNum w:abstractNumId="92">
    <w:nsid w:val="5915FF3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93">
    <w:nsid w:val="56438D15"/>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8"/>
    </w:lvl>
  </w:abstractNum>
  <w:abstractNum w:abstractNumId="94">
    <w:nsid w:val="519E3149"/>
    <w:multiLevelType w:val="hybridMultilevel"/>
    <w:lvl w:ilvl="0">
      <w:lvlJc w:val="left"/>
      <w:lvlText w:val="%1."/>
      <w:numFmt w:val="decimal"/>
      <w:start w:val="9"/>
    </w:lvl>
  </w:abstractNum>
  <w:abstractNum w:abstractNumId="95">
    <w:nsid w:val="2C6E4AFD"/>
    <w:multiLevelType w:val="hybridMultilevel"/>
    <w:lvl w:ilvl="0">
      <w:lvlJc w:val="left"/>
      <w:lvlText w:val="%1."/>
      <w:numFmt w:val="decimal"/>
      <w:start w:val="10"/>
    </w:lvl>
  </w:abstractNum>
  <w:abstractNum w:abstractNumId="96">
    <w:nsid w:val="17A1B582"/>
    <w:multiLevelType w:val="hybridMultilevel"/>
    <w:lvl w:ilvl="0">
      <w:lvlJc w:val="left"/>
      <w:lvlText w:val="%1."/>
      <w:numFmt w:val="decimal"/>
      <w:start w:val="11"/>
    </w:lvl>
  </w:abstractNum>
  <w:abstractNum w:abstractNumId="97">
    <w:nsid w:val="4DF72E4E"/>
    <w:multiLevelType w:val="hybridMultilevel"/>
    <w:lvl w:ilvl="0">
      <w:lvlJc w:val="left"/>
      <w:lvlText w:val="%1."/>
      <w:numFmt w:val="decimal"/>
      <w:start w:val="12"/>
    </w:lvl>
  </w:abstractNum>
  <w:abstractNum w:abstractNumId="98">
    <w:nsid w:val="5046B5A9"/>
    <w:multiLevelType w:val="hybridMultilevel"/>
    <w:lvl w:ilvl="0">
      <w:lvlJc w:val="left"/>
      <w:lvlText w:val="(%1)"/>
      <w:numFmt w:val="decimal"/>
      <w:start w:val="1"/>
    </w:lvl>
    <w:lvl w:ilvl="1">
      <w:lvlJc w:val="left"/>
      <w:lvlText w:val="(%2)"/>
      <w:numFmt w:val="lowerLetter"/>
      <w:start w:val="1"/>
    </w:lvl>
  </w:abstractNum>
  <w:abstractNum w:abstractNumId="99">
    <w:nsid w:val="5D888A08"/>
    <w:multiLevelType w:val="hybridMultilevel"/>
    <w:lvl w:ilvl="0">
      <w:lvlJc w:val="left"/>
      <w:lvlText w:val="(%1)"/>
      <w:numFmt w:val="lowerLetter"/>
      <w:start w:val="2"/>
    </w:lvl>
    <w:lvl w:ilvl="1">
      <w:lvlJc w:val="left"/>
      <w:lvlText w:val="%2."/>
      <w:numFmt w:val="decimal"/>
      <w:start w:val="13"/>
    </w:lvl>
  </w:abstractNum>
  <w:abstractNum w:abstractNumId="100">
    <w:nsid w:val="2A082C70"/>
    <w:multiLevelType w:val="hybridMultilevel"/>
    <w:lvl w:ilvl="0">
      <w:lvlJc w:val="left"/>
      <w:lvlText w:val="(%1)"/>
      <w:numFmt w:val="lowerLetter"/>
      <w:start w:val="1"/>
    </w:lvl>
    <w:lvl w:ilvl="1">
      <w:lvlJc w:val="left"/>
      <w:lvlText w:val="%2."/>
      <w:numFmt w:val="decimal"/>
      <w:start w:val="14"/>
    </w:lvl>
  </w:abstractNum>
  <w:abstractNum w:abstractNumId="101">
    <w:nsid w:val="5EC6AFD4"/>
    <w:multiLevelType w:val="hybridMultilevel"/>
    <w:lvl w:ilvl="0">
      <w:lvlJc w:val="left"/>
      <w:lvlText w:val="%1."/>
      <w:numFmt w:val="decimal"/>
      <w:start w:val="15"/>
    </w:lvl>
  </w:abstractNum>
  <w:abstractNum w:abstractNumId="102">
    <w:nsid w:val="19E21BB2"/>
    <w:multiLevelType w:val="hybridMultilevel"/>
    <w:lvl w:ilvl="0">
      <w:lvlJc w:val="left"/>
      <w:lvlText w:val="%1."/>
      <w:numFmt w:val="decimal"/>
      <w:start w:val="16"/>
    </w:lvl>
  </w:abstractNum>
  <w:abstractNum w:abstractNumId="103">
    <w:nsid w:val="75E0858A"/>
    <w:multiLevelType w:val="hybridMultilevel"/>
    <w:lvl w:ilvl="0">
      <w:lvlJc w:val="left"/>
      <w:lvlText w:val="%1."/>
      <w:numFmt w:val="decimal"/>
      <w:start w:val="17"/>
    </w:lvl>
  </w:abstractNum>
  <w:abstractNum w:abstractNumId="104">
    <w:nsid w:val="57A61A29"/>
    <w:multiLevelType w:val="hybridMultilevel"/>
    <w:lvl w:ilvl="0">
      <w:lvlJc w:val="left"/>
      <w:lvlText w:val="%1."/>
      <w:numFmt w:val="decimal"/>
      <w:start w:val="18"/>
    </w:lvl>
  </w:abstractNum>
  <w:abstractNum w:abstractNumId="105">
    <w:nsid w:val="5399C654"/>
    <w:multiLevelType w:val="hybridMultilevel"/>
    <w:lvl w:ilvl="0">
      <w:lvlJc w:val="left"/>
      <w:lvlText w:val="%1."/>
      <w:numFmt w:val="decimal"/>
      <w:start w:val="19"/>
    </w:lvl>
  </w:abstractNum>
  <w:abstractNum w:abstractNumId="106">
    <w:nsid w:val="20EE1348"/>
    <w:multiLevelType w:val="hybridMultilevel"/>
    <w:lvl w:ilvl="0">
      <w:lvlJc w:val="left"/>
      <w:lvlText w:val="%1."/>
      <w:numFmt w:val="decimal"/>
      <w:start w:val="1"/>
    </w:lvl>
  </w:abstractNum>
  <w:abstractNum w:abstractNumId="107">
    <w:nsid w:val="4427069A"/>
    <w:multiLevelType w:val="hybridMultilevel"/>
    <w:lvl w:ilvl="0">
      <w:lvlJc w:val="left"/>
      <w:lvlText w:val="%1."/>
      <w:numFmt w:val="decimal"/>
      <w:start w:val="2"/>
    </w:lvl>
  </w:abstractNum>
  <w:abstractNum w:abstractNumId="108">
    <w:nsid w:val="B37E80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lowerRoman"/>
      <w:start w:val="1"/>
    </w:lvl>
  </w:abstractNum>
  <w:abstractNum w:abstractNumId="109">
    <w:nsid w:val="2157F6B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10">
    <w:nsid w:val="704E1DD5"/>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11">
    <w:nsid w:val="57D2F10E"/>
    <w:multiLevelType w:val="hybridMultilevel"/>
    <w:lvl w:ilvl="0">
      <w:lvlJc w:val="left"/>
      <w:lvlText w:val="%1"/>
      <w:numFmt w:val="decimal"/>
      <w:start w:val="1"/>
    </w:lvl>
    <w:lvl w:ilvl="1">
      <w:lvlJc w:val="left"/>
      <w:lvlText w:val="(%2)"/>
      <w:numFmt w:val="lowerRoman"/>
      <w:start w:val="3"/>
    </w:lvl>
  </w:abstractNum>
  <w:abstractNum w:abstractNumId="112">
    <w:nsid w:val="BFFAE18"/>
    <w:multiLevelType w:val="hybridMultilevel"/>
    <w:lvl w:ilvl="0">
      <w:lvlJc w:val="left"/>
      <w:lvlText w:val="%1."/>
      <w:numFmt w:val="decimal"/>
      <w:start w:val="4"/>
    </w:lvl>
    <w:lvl w:ilvl="1">
      <w:lvlJc w:val="left"/>
      <w:lvlText w:val="%2"/>
      <w:numFmt w:val="lowerRoman"/>
      <w:start w:val="1"/>
    </w:lvl>
  </w:abstractNum>
  <w:abstractNum w:abstractNumId="113">
    <w:nsid w:val="E3E47A8"/>
    <w:multiLevelType w:val="hybridMultilevel"/>
    <w:lvl w:ilvl="0">
      <w:lvlJc w:val="left"/>
      <w:lvlText w:val="%1."/>
      <w:numFmt w:val="decimal"/>
      <w:start w:val="5"/>
    </w:lvl>
  </w:abstractNum>
  <w:abstractNum w:abstractNumId="114">
    <w:nsid w:val="2E48F044"/>
    <w:multiLevelType w:val="hybridMultilevel"/>
    <w:lvl w:ilvl="0">
      <w:lvlJc w:val="left"/>
      <w:lvlText w:val="%1."/>
      <w:numFmt w:val="decimal"/>
      <w:start w:val="6"/>
    </w:lvl>
  </w:abstractNum>
  <w:abstractNum w:abstractNumId="115">
    <w:nsid w:val="49D0FEAC"/>
    <w:multiLevelType w:val="hybridMultilevel"/>
    <w:lvl w:ilvl="0">
      <w:lvlJc w:val="left"/>
      <w:lvlText w:val="%1"/>
      <w:numFmt w:val="lowerLetter"/>
      <w:start w:val="1"/>
    </w:lvl>
    <w:lvl w:ilvl="1">
      <w:lvlJc w:val="left"/>
      <w:lvlText w:val="%2."/>
      <w:numFmt w:val="decimal"/>
      <w:start w:val="7"/>
    </w:lvl>
  </w:abstractNum>
  <w:abstractNum w:abstractNumId="116">
    <w:nsid w:val="4BEE5A5B"/>
    <w:multiLevelType w:val="hybridMultilevel"/>
    <w:lvl w:ilvl="0">
      <w:lvlJc w:val="left"/>
      <w:lvlText w:val="(%1)"/>
      <w:numFmt w:val="lowerLetter"/>
      <w:start w:val="1"/>
    </w:lvl>
    <w:lvl w:ilvl="1">
      <w:lvlJc w:val="left"/>
      <w:lvlText w:val="%2."/>
      <w:numFmt w:val="decimal"/>
      <w:start w:val="8"/>
    </w:lvl>
  </w:abstractNum>
  <w:abstractNum w:abstractNumId="117">
    <w:nsid w:val="5551B9F3"/>
    <w:multiLevelType w:val="hybridMultilevel"/>
    <w:lvl w:ilvl="0">
      <w:lvlJc w:val="left"/>
      <w:lvlText w:val="%1."/>
      <w:numFmt w:val="decimal"/>
      <w:start w:val="9"/>
    </w:lvl>
  </w:abstractNum>
  <w:abstractNum w:abstractNumId="118">
    <w:nsid w:val="24F6AB8E"/>
    <w:multiLevelType w:val="hybridMultilevel"/>
    <w:lvl w:ilvl="0">
      <w:lvlJc w:val="left"/>
      <w:lvlText w:val="%1."/>
      <w:numFmt w:val="decimal"/>
      <w:start w:val="10"/>
    </w:lvl>
  </w:abstractNum>
  <w:abstractNum w:abstractNumId="119">
    <w:nsid w:val="634C574C"/>
    <w:multiLevelType w:val="hybridMultilevel"/>
    <w:lvl w:ilvl="0">
      <w:lvlJc w:val="left"/>
      <w:lvlText w:val="%1."/>
      <w:numFmt w:val="decimal"/>
      <w:start w:val="11"/>
    </w:lvl>
  </w:abstractNum>
  <w:abstractNum w:abstractNumId="120">
    <w:nsid w:val="24E99DD7"/>
    <w:multiLevelType w:val="hybridMultilevel"/>
    <w:lvl w:ilvl="0">
      <w:lvlJc w:val="left"/>
      <w:lvlText w:val="%1."/>
      <w:numFmt w:val="decimal"/>
      <w:start w:val="12"/>
    </w:lvl>
  </w:abstractNum>
  <w:abstractNum w:abstractNumId="121">
    <w:nsid w:val="2A31B62D"/>
    <w:multiLevelType w:val="hybridMultilevel"/>
    <w:lvl w:ilvl="0">
      <w:lvlJc w:val="left"/>
      <w:lvlText w:val="(%1)"/>
      <w:numFmt w:val="decimal"/>
      <w:start w:val="1"/>
    </w:lvl>
    <w:lvl w:ilvl="1">
      <w:lvlJc w:val="left"/>
      <w:lvlText w:val="(%2)"/>
      <w:numFmt w:val="lowerLetter"/>
      <w:start w:val="1"/>
    </w:lvl>
  </w:abstractNum>
  <w:abstractNum w:abstractNumId="122">
    <w:nsid w:val="1849C29B"/>
    <w:multiLevelType w:val="hybridMultilevel"/>
    <w:lvl w:ilvl="0">
      <w:lvlJc w:val="left"/>
      <w:lvlText w:val="(%1)"/>
      <w:numFmt w:val="lowerLetter"/>
      <w:start w:val="2"/>
    </w:lvl>
    <w:lvl w:ilvl="1">
      <w:lvlJc w:val="left"/>
      <w:lvlText w:val="%2."/>
      <w:numFmt w:val="decimal"/>
      <w:start w:val="13"/>
    </w:lvl>
  </w:abstractNum>
  <w:abstractNum w:abstractNumId="123">
    <w:nsid w:val="7DFF9D09"/>
    <w:multiLevelType w:val="hybridMultilevel"/>
    <w:lvl w:ilvl="0">
      <w:lvlJc w:val="left"/>
      <w:lvlText w:val="(%1)"/>
      <w:numFmt w:val="lowerLetter"/>
      <w:start w:val="1"/>
    </w:lvl>
  </w:abstractNum>
  <w:abstractNum w:abstractNumId="124">
    <w:nsid w:val="754342"/>
    <w:multiLevelType w:val="hybridMultilevel"/>
    <w:lvl w:ilvl="0">
      <w:lvlJc w:val="left"/>
      <w:lvlText w:val="%1."/>
      <w:numFmt w:val="decimal"/>
      <w:start w:val="14"/>
    </w:lvl>
  </w:abstractNum>
  <w:abstractNum w:abstractNumId="125">
    <w:nsid w:val="69E7F3E5"/>
    <w:multiLevelType w:val="hybridMultilevel"/>
    <w:lvl w:ilvl="0">
      <w:lvlJc w:val="left"/>
      <w:lvlText w:val="%1."/>
      <w:numFmt w:val="decimal"/>
      <w:start w:val="15"/>
    </w:lvl>
  </w:abstractNum>
  <w:abstractNum w:abstractNumId="126">
    <w:nsid w:val="2A6DE806"/>
    <w:multiLevelType w:val="hybridMultilevel"/>
    <w:lvl w:ilvl="0">
      <w:lvlJc w:val="left"/>
      <w:lvlText w:val="%1."/>
      <w:numFmt w:val="decimal"/>
      <w:start w:val="16"/>
    </w:lvl>
  </w:abstractNum>
  <w:abstractNum w:abstractNumId="127">
    <w:nsid w:val="1816F8C4"/>
    <w:multiLevelType w:val="hybridMultilevel"/>
    <w:lvl w:ilvl="0">
      <w:lvlJc w:val="left"/>
      <w:lvlText w:val="%1."/>
      <w:numFmt w:val="decimal"/>
      <w:start w:val="17"/>
    </w:lvl>
  </w:abstractNum>
  <w:abstractNum w:abstractNumId="128">
    <w:nsid w:val="37DF2233"/>
    <w:multiLevelType w:val="hybridMultilevel"/>
    <w:lvl w:ilvl="0">
      <w:lvlJc w:val="left"/>
      <w:lvlText w:val="%1."/>
      <w:numFmt w:val="decimal"/>
      <w:start w:val="18"/>
    </w:lvl>
  </w:abstractNum>
  <w:abstractNum w:abstractNumId="129">
    <w:nsid w:val="7AB49DAF"/>
    <w:multiLevelType w:val="hybridMultilevel"/>
    <w:lvl w:ilvl="0">
      <w:lvlJc w:val="left"/>
      <w:lvlText w:val="%1."/>
      <w:numFmt w:val="decimal"/>
      <w:start w:val="19"/>
    </w:lvl>
  </w:abstractNum>
  <w:abstractNum w:abstractNumId="130">
    <w:nsid w:val="759F82CD"/>
    <w:multiLevelType w:val="hybridMultilevel"/>
    <w:lvl w:ilvl="0">
      <w:lvlJc w:val="left"/>
      <w:lvlText w:val="%1."/>
      <w:numFmt w:val="decimal"/>
      <w:start w:val="1"/>
    </w:lvl>
  </w:abstractNum>
  <w:abstractNum w:abstractNumId="131">
    <w:nsid w:val="61E74EA3"/>
    <w:multiLevelType w:val="hybridMultilevel"/>
    <w:lvl w:ilvl="0">
      <w:lvlJc w:val="left"/>
      <w:lvlText w:val="%1."/>
      <w:numFmt w:val="decimal"/>
      <w:start w:val="2"/>
    </w:lvl>
  </w:abstractNum>
  <w:abstractNum w:abstractNumId="132">
    <w:nsid w:val="597B4D8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lowerRoman"/>
      <w:start w:val="1"/>
    </w:lvl>
  </w:abstractNum>
  <w:abstractNum w:abstractNumId="133">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34">
    <w:nsid w:val="57C7D42D"/>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35">
    <w:nsid w:val="312167AD"/>
    <w:multiLevelType w:val="hybridMultilevel"/>
    <w:lvl w:ilvl="0">
      <w:lvlJc w:val="left"/>
      <w:lvlText w:val="%1."/>
      <w:numFmt w:val="decimal"/>
      <w:start w:val="4"/>
    </w:lvl>
  </w:abstractNum>
  <w:abstractNum w:abstractNumId="136">
    <w:nsid w:val="631B64D4"/>
    <w:multiLevelType w:val="hybridMultilevel"/>
    <w:lvl w:ilvl="0">
      <w:lvlJc w:val="left"/>
      <w:lvlText w:val="%1."/>
      <w:numFmt w:val="decimal"/>
      <w:start w:val="5"/>
    </w:lvl>
  </w:abstractNum>
  <w:abstractNum w:abstractNumId="137">
    <w:nsid w:val="78B5E776"/>
    <w:multiLevelType w:val="hybridMultilevel"/>
    <w:lvl w:ilvl="0">
      <w:lvlJc w:val="left"/>
      <w:lvlText w:val="%1."/>
      <w:numFmt w:val="decimal"/>
      <w:start w:val="6"/>
    </w:lvl>
  </w:abstractNum>
  <w:abstractNum w:abstractNumId="138">
    <w:nsid w:val="75486E47"/>
    <w:multiLevelType w:val="hybridMultilevel"/>
    <w:lvl w:ilvl="0">
      <w:lvlJc w:val="left"/>
      <w:lvlText w:val="%1"/>
      <w:numFmt w:val="lowerLetter"/>
      <w:start w:val="1"/>
    </w:lvl>
    <w:lvl w:ilvl="1">
      <w:lvlJc w:val="left"/>
      <w:lvlText w:val="%2."/>
      <w:numFmt w:val="decimal"/>
      <w:start w:val="7"/>
    </w:lvl>
  </w:abstractNum>
  <w:abstractNum w:abstractNumId="139">
    <w:nsid w:val="6E534CDE"/>
    <w:multiLevelType w:val="hybridMultilevel"/>
    <w:lvl w:ilvl="0">
      <w:lvlJc w:val="left"/>
      <w:lvlText w:val="(%1)"/>
      <w:numFmt w:val="lowerLetter"/>
      <w:start w:val="1"/>
    </w:lvl>
    <w:lvl w:ilvl="1">
      <w:lvlJc w:val="left"/>
      <w:lvlText w:val="%2"/>
      <w:numFmt w:val="decimal"/>
      <w:start w:val="1"/>
    </w:lvl>
  </w:abstractNum>
  <w:abstractNum w:abstractNumId="140">
    <w:nsid w:val="1A0DDE32"/>
    <w:multiLevelType w:val="hybridMultilevel"/>
    <w:lvl w:ilvl="0">
      <w:lvlJc w:val="left"/>
      <w:lvlText w:val="(%1)"/>
      <w:numFmt w:val="lowerLetter"/>
      <w:start w:val="2"/>
    </w:lvl>
    <w:lvl w:ilvl="1">
      <w:lvlJc w:val="left"/>
      <w:lvlText w:val="%2."/>
      <w:numFmt w:val="decimal"/>
      <w:start w:val="8"/>
    </w:lvl>
  </w:abstractNum>
  <w:abstractNum w:abstractNumId="141">
    <w:nsid w:val="65968C1C"/>
    <w:multiLevelType w:val="hybridMultilevel"/>
    <w:lvl w:ilvl="0">
      <w:lvlJc w:val="left"/>
      <w:lvlText w:val="%1."/>
      <w:numFmt w:val="decimal"/>
      <w:start w:val="9"/>
    </w:lvl>
  </w:abstractNum>
  <w:abstractNum w:abstractNumId="142">
    <w:nsid w:val="46263DEC"/>
    <w:multiLevelType w:val="hybridMultilevel"/>
    <w:lvl w:ilvl="0">
      <w:lvlJc w:val="left"/>
      <w:lvlText w:val="%1."/>
      <w:numFmt w:val="decimal"/>
      <w:start w:val="10"/>
    </w:lvl>
  </w:abstractNum>
  <w:abstractNum w:abstractNumId="143">
    <w:nsid w:val="260D8C4A"/>
    <w:multiLevelType w:val="hybridMultilevel"/>
    <w:lvl w:ilvl="0">
      <w:lvlJc w:val="left"/>
      <w:lvlText w:val="%1."/>
      <w:numFmt w:val="decimal"/>
      <w:start w:val="11"/>
    </w:lvl>
  </w:abstractNum>
  <w:abstractNum w:abstractNumId="144">
    <w:nsid w:val="73D4D3C4"/>
    <w:multiLevelType w:val="hybridMultilevel"/>
    <w:lvl w:ilvl="0">
      <w:lvlJc w:val="left"/>
      <w:lvlText w:val="%1."/>
      <w:numFmt w:val="decimal"/>
      <w:start w:val="12"/>
    </w:lvl>
  </w:abstractNum>
  <w:abstractNum w:abstractNumId="145">
    <w:nsid w:val="746F2E3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3"/>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lowerLetter"/>
      <w:start w:val="3"/>
    </w:lvl>
    <w:lvl w:ilvl="1">
      <w:lvlJc w:val="left"/>
      <w:lvlText w:val="%2."/>
      <w:numFmt w:val="decimal"/>
      <w:start w:val="14"/>
    </w:lvl>
  </w:abstractNum>
  <w:abstractNum w:abstractNumId="148">
    <w:nsid w:val="49C0E823"/>
    <w:multiLevelType w:val="hybridMultilevel"/>
    <w:lvl w:ilvl="0">
      <w:lvlJc w:val="left"/>
      <w:lvlText w:val="%1."/>
      <w:numFmt w:val="decimal"/>
      <w:start w:val="15"/>
    </w:lvl>
  </w:abstractNum>
  <w:abstractNum w:abstractNumId="149">
    <w:nsid w:val="14D53685"/>
    <w:multiLevelType w:val="hybridMultilevel"/>
    <w:lvl w:ilvl="0">
      <w:lvlJc w:val="left"/>
      <w:lvlText w:val="%1."/>
      <w:numFmt w:val="decimal"/>
      <w:start w:val="16"/>
    </w:lvl>
  </w:abstractNum>
  <w:abstractNum w:abstractNumId="150">
    <w:nsid w:val="230F856C"/>
    <w:multiLevelType w:val="hybridMultilevel"/>
    <w:lvl w:ilvl="0">
      <w:lvlJc w:val="left"/>
      <w:lvlText w:val="%1."/>
      <w:numFmt w:val="decimal"/>
      <w:start w:val="17"/>
    </w:lvl>
  </w:abstractNum>
  <w:abstractNum w:abstractNumId="151">
    <w:nsid w:val="6EAA85FB"/>
    <w:multiLevelType w:val="hybridMultilevel"/>
    <w:lvl w:ilvl="0">
      <w:lvlJc w:val="left"/>
      <w:lvlText w:val="%1."/>
      <w:numFmt w:val="decimal"/>
      <w:start w:val="18"/>
    </w:lvl>
  </w:abstractNum>
  <w:abstractNum w:abstractNumId="152">
    <w:nsid w:val="3F06ECB2"/>
    <w:multiLevelType w:val="hybridMultilevel"/>
    <w:lvl w:ilvl="0">
      <w:lvlJc w:val="left"/>
      <w:lvlText w:val="%1."/>
      <w:numFmt w:val="decimal"/>
      <w:start w:val="19"/>
    </w:lvl>
  </w:abstractNum>
  <w:abstractNum w:abstractNumId="153">
    <w:nsid w:val="3B594807"/>
    <w:multiLevelType w:val="hybridMultilevel"/>
    <w:lvl w:ilvl="0">
      <w:lvlJc w:val="left"/>
      <w:lvlText w:val="%1."/>
      <w:numFmt w:val="decimal"/>
      <w:start w:val="1"/>
    </w:lvl>
    <w:lvl w:ilvl="1">
      <w:lvlJc w:val="left"/>
      <w:lvlText w:val="%2."/>
      <w:numFmt w:val="lowerLetter"/>
      <w:start w:val="1"/>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02" Type="http://schemas.openxmlformats.org/officeDocument/2006/relationships/hyperlink" Target="https://www.sec.gov/Archives/edgar/data/1758730/000119312523089885/d472523dex101.htm" TargetMode="External"/><Relationship Id="rId103" Type="http://schemas.openxmlformats.org/officeDocument/2006/relationships/hyperlink" Target="https://www.sec.gov/Archives/edgar/data/1758730/000175873023000047/twm-2022x12x31xexx1030.htm" TargetMode="External"/><Relationship Id="rId104" Type="http://schemas.openxmlformats.org/officeDocument/2006/relationships/hyperlink" Target="https://www.sec.gov/Archives/edgar/data/1758730/000175873023000047/twm-2022x12x31xexx10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2023-04-27T06:08:29Z</dcterms:created>
  <dcterms:modified xsi:type="dcterms:W3CDTF">2023-04-27T06:08:29Z</dcterms:modified>
</cp:coreProperties>
</file>