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Tradeweb Markets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892672106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29,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2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York Parent Limited (f/k/a Refinitiv Holdings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3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BCP York Holdings (Delaware) L.P.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4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BCP York Holdings GP (Delaware) L.L.C.</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5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BCP York Subsidiary (Cayman) L.P.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6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BCP VII Holdings Manager (Cayman) L.L.C.</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7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Blackstone Management Associates (Cayman) VII L.P.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342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8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gridSpan w:val="2"/>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6"/>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w w:val="97"/>
              </w:rPr>
              <w:t>BCP VII GP L.L.C.</w:t>
            </w: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gridSpan w:val="2"/>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65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2"/>
                <w:szCs w:val="12"/>
                <w:color w:val="auto"/>
              </w:rPr>
            </w:pPr>
          </w:p>
        </w:tc>
        <w:tc>
          <w:tcPr>
            <w:tcW w:w="65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652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gridSpan w:val="2"/>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6"/>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60"/>
              <w:spacing w:after="0"/>
              <w:rPr>
                <w:sz w:val="20"/>
                <w:szCs w:val="20"/>
                <w:color w:val="auto"/>
              </w:rPr>
            </w:pPr>
            <w:r>
              <w:rPr>
                <w:rFonts w:ascii="Arial" w:cs="Arial" w:eastAsia="Arial" w:hAnsi="Arial"/>
                <w:sz w:val="18"/>
                <w:szCs w:val="18"/>
                <w:color w:val="auto"/>
              </w:rPr>
              <w:t>13G</w:t>
            </w:r>
          </w:p>
        </w:tc>
        <w:tc>
          <w:tcPr>
            <w:tcW w:w="2360" w:type="dxa"/>
            <w:vAlign w:val="bottom"/>
          </w:tcPr>
          <w:p>
            <w:pPr>
              <w:ind w:left="1420"/>
              <w:spacing w:after="0"/>
              <w:rPr>
                <w:sz w:val="20"/>
                <w:szCs w:val="20"/>
                <w:color w:val="auto"/>
              </w:rPr>
            </w:pPr>
            <w:r>
              <w:rPr>
                <w:rFonts w:ascii="Arial" w:cs="Arial" w:eastAsia="Arial" w:hAnsi="Arial"/>
                <w:sz w:val="18"/>
                <w:szCs w:val="18"/>
                <w:color w:val="auto"/>
                <w:w w:val="88"/>
              </w:rPr>
              <w:t>Page 9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Blackstone Holdings III L.P.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6"/>
              </w:rPr>
              <w:t>Quebec, Canada</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60"/>
              <w:spacing w:after="0"/>
              <w:rPr>
                <w:sz w:val="20"/>
                <w:szCs w:val="20"/>
                <w:color w:val="auto"/>
              </w:rPr>
            </w:pPr>
            <w:r>
              <w:rPr>
                <w:rFonts w:ascii="Arial" w:cs="Arial" w:eastAsia="Arial" w:hAnsi="Arial"/>
                <w:sz w:val="18"/>
                <w:szCs w:val="18"/>
                <w:color w:val="auto"/>
              </w:rPr>
              <w:t>13G</w:t>
            </w:r>
          </w:p>
        </w:tc>
        <w:tc>
          <w:tcPr>
            <w:tcW w:w="2400" w:type="dxa"/>
            <w:vAlign w:val="bottom"/>
          </w:tcPr>
          <w:p>
            <w:pPr>
              <w:ind w:left="1380"/>
              <w:spacing w:after="0"/>
              <w:rPr>
                <w:sz w:val="20"/>
                <w:szCs w:val="20"/>
                <w:color w:val="auto"/>
              </w:rPr>
            </w:pPr>
            <w:r>
              <w:rPr>
                <w:rFonts w:ascii="Arial" w:cs="Arial" w:eastAsia="Arial" w:hAnsi="Arial"/>
                <w:sz w:val="18"/>
                <w:szCs w:val="18"/>
                <w:color w:val="auto"/>
                <w:w w:val="87"/>
              </w:rPr>
              <w:t>Page 10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Blackstone Holdings III GP L.P.</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60"/>
              <w:spacing w:after="0"/>
              <w:rPr>
                <w:sz w:val="20"/>
                <w:szCs w:val="20"/>
                <w:color w:val="auto"/>
              </w:rPr>
            </w:pPr>
            <w:r>
              <w:rPr>
                <w:rFonts w:ascii="Arial" w:cs="Arial" w:eastAsia="Arial" w:hAnsi="Arial"/>
                <w:sz w:val="18"/>
                <w:szCs w:val="18"/>
                <w:color w:val="auto"/>
              </w:rPr>
              <w:t>13G</w:t>
            </w:r>
          </w:p>
        </w:tc>
        <w:tc>
          <w:tcPr>
            <w:tcW w:w="2400" w:type="dxa"/>
            <w:vAlign w:val="bottom"/>
          </w:tcPr>
          <w:p>
            <w:pPr>
              <w:ind w:left="1380"/>
              <w:spacing w:after="0"/>
              <w:rPr>
                <w:sz w:val="20"/>
                <w:szCs w:val="20"/>
                <w:color w:val="auto"/>
              </w:rPr>
            </w:pPr>
            <w:r>
              <w:rPr>
                <w:rFonts w:ascii="Arial" w:cs="Arial" w:eastAsia="Arial" w:hAnsi="Arial"/>
                <w:sz w:val="18"/>
                <w:szCs w:val="18"/>
                <w:color w:val="auto"/>
                <w:w w:val="87"/>
              </w:rPr>
              <w:t>Page 11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Blackstone Holdings III GP Management L.L.C.</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60"/>
              <w:spacing w:after="0"/>
              <w:rPr>
                <w:sz w:val="20"/>
                <w:szCs w:val="20"/>
                <w:color w:val="auto"/>
              </w:rPr>
            </w:pPr>
            <w:r>
              <w:rPr>
                <w:rFonts w:ascii="Arial" w:cs="Arial" w:eastAsia="Arial" w:hAnsi="Arial"/>
                <w:sz w:val="18"/>
                <w:szCs w:val="18"/>
                <w:color w:val="auto"/>
              </w:rPr>
              <w:t>13G</w:t>
            </w:r>
          </w:p>
        </w:tc>
        <w:tc>
          <w:tcPr>
            <w:tcW w:w="2400" w:type="dxa"/>
            <w:vAlign w:val="bottom"/>
          </w:tcPr>
          <w:p>
            <w:pPr>
              <w:ind w:left="1380"/>
              <w:spacing w:after="0"/>
              <w:rPr>
                <w:sz w:val="20"/>
                <w:szCs w:val="20"/>
                <w:color w:val="auto"/>
              </w:rPr>
            </w:pPr>
            <w:r>
              <w:rPr>
                <w:rFonts w:ascii="Arial" w:cs="Arial" w:eastAsia="Arial" w:hAnsi="Arial"/>
                <w:sz w:val="18"/>
                <w:szCs w:val="18"/>
                <w:color w:val="auto"/>
                <w:w w:val="87"/>
              </w:rPr>
              <w:t>Page 12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The Blackstone Group Inc.</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60"/>
              <w:spacing w:after="0"/>
              <w:rPr>
                <w:sz w:val="20"/>
                <w:szCs w:val="20"/>
                <w:color w:val="auto"/>
              </w:rPr>
            </w:pPr>
            <w:r>
              <w:rPr>
                <w:rFonts w:ascii="Arial" w:cs="Arial" w:eastAsia="Arial" w:hAnsi="Arial"/>
                <w:sz w:val="18"/>
                <w:szCs w:val="18"/>
                <w:color w:val="auto"/>
              </w:rPr>
              <w:t>13G</w:t>
            </w:r>
          </w:p>
        </w:tc>
        <w:tc>
          <w:tcPr>
            <w:tcW w:w="2400" w:type="dxa"/>
            <w:vAlign w:val="bottom"/>
          </w:tcPr>
          <w:p>
            <w:pPr>
              <w:ind w:left="1380"/>
              <w:spacing w:after="0"/>
              <w:rPr>
                <w:sz w:val="20"/>
                <w:szCs w:val="20"/>
                <w:color w:val="auto"/>
              </w:rPr>
            </w:pPr>
            <w:r>
              <w:rPr>
                <w:rFonts w:ascii="Arial" w:cs="Arial" w:eastAsia="Arial" w:hAnsi="Arial"/>
                <w:sz w:val="18"/>
                <w:szCs w:val="18"/>
                <w:color w:val="auto"/>
                <w:w w:val="87"/>
              </w:rPr>
              <w:t>Page 13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Blackstone Group Management L.L.C.</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60"/>
              <w:spacing w:after="0"/>
              <w:rPr>
                <w:sz w:val="20"/>
                <w:szCs w:val="20"/>
                <w:color w:val="auto"/>
              </w:rPr>
            </w:pPr>
            <w:r>
              <w:rPr>
                <w:rFonts w:ascii="Arial" w:cs="Arial" w:eastAsia="Arial" w:hAnsi="Arial"/>
                <w:sz w:val="18"/>
                <w:szCs w:val="18"/>
                <w:color w:val="auto"/>
              </w:rPr>
              <w:t>13G</w:t>
            </w:r>
          </w:p>
        </w:tc>
        <w:tc>
          <w:tcPr>
            <w:tcW w:w="2400" w:type="dxa"/>
            <w:vAlign w:val="bottom"/>
          </w:tcPr>
          <w:p>
            <w:pPr>
              <w:ind w:left="1380"/>
              <w:spacing w:after="0"/>
              <w:rPr>
                <w:sz w:val="20"/>
                <w:szCs w:val="20"/>
                <w:color w:val="auto"/>
              </w:rPr>
            </w:pPr>
            <w:r>
              <w:rPr>
                <w:rFonts w:ascii="Arial" w:cs="Arial" w:eastAsia="Arial" w:hAnsi="Arial"/>
                <w:sz w:val="18"/>
                <w:szCs w:val="18"/>
                <w:color w:val="auto"/>
                <w:w w:val="87"/>
              </w:rPr>
              <w:t>Page 14 of 20</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jc w:val="center"/>
              <w:ind w:right="5850"/>
              <w:spacing w:after="0"/>
              <w:rPr>
                <w:sz w:val="20"/>
                <w:szCs w:val="20"/>
                <w:color w:val="auto"/>
              </w:rPr>
            </w:pPr>
            <w:r>
              <w:rPr>
                <w:rFonts w:ascii="Arial" w:cs="Arial" w:eastAsia="Arial" w:hAnsi="Arial"/>
                <w:sz w:val="18"/>
                <w:szCs w:val="18"/>
                <w:color w:val="auto"/>
                <w:w w:val="89"/>
              </w:rPr>
              <w:t>Stephen A. Schwarzman</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(b)</w:t>
            </w:r>
          </w:p>
        </w:tc>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8"/>
              </w:rPr>
              <w:t>United States</w:t>
            </w: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gridSpan w:val="2"/>
          </w:tcPr>
          <w:p>
            <w:pPr>
              <w:spacing w:after="0"/>
              <w:rPr>
                <w:sz w:val="20"/>
                <w:szCs w:val="20"/>
                <w:color w:val="auto"/>
              </w:rPr>
            </w:pPr>
            <w:r>
              <w:rPr>
                <w:rFonts w:ascii="Arial" w:cs="Arial" w:eastAsia="Arial" w:hAnsi="Arial"/>
                <w:sz w:val="15"/>
                <w:szCs w:val="15"/>
                <w:color w:val="auto"/>
                <w:w w:val="73"/>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29, 2021, the Reporting Persons sold their interests in Refinitiv Parent Limited, which indirectly beneficially owns 119,921,521 shares of Class A Common Stock (as defined below) of Tradeweb Markets Inc., to the London Stock Exchange Group plc (“LSEG plc”) in an all-stock transaction, for an aggregate of 204,225,968 voting and limited voting ordinary shares to be issued by LSEG plc in accordance with the terms of the stock purchase agreement governing the transaction (the “Sale”). No securities of the Issuer were transferred by Refinitiv TW Holdings Ltd. or Refinitiv US PME LLC, the direct holders of Common Stock, in connection with the Sale.</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Tradeweb Markets Inc. (the “Issuer”)</w:t>
      </w:r>
    </w:p>
    <w:p>
      <w:pPr>
        <w:spacing w:after="0" w:line="3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1177 Avenue of the Americas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420" w:right="280"/>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76" w:lineRule="exact"/>
        <w:rPr>
          <w:sz w:val="20"/>
          <w:szCs w:val="20"/>
          <w:color w:val="auto"/>
        </w:rPr>
      </w:pPr>
    </w:p>
    <w:p>
      <w:pPr>
        <w:ind w:left="1980" w:right="5040" w:hanging="553"/>
        <w:spacing w:after="0" w:line="258" w:lineRule="auto"/>
        <w:tabs>
          <w:tab w:leader="none" w:pos="1968" w:val="left"/>
        </w:tabs>
        <w:numPr>
          <w:ilvl w:val="0"/>
          <w:numId w:val="3"/>
        </w:numPr>
        <w:rPr>
          <w:rFonts w:ascii="Arial" w:cs="Arial" w:eastAsia="Arial" w:hAnsi="Arial"/>
          <w:sz w:val="18"/>
          <w:szCs w:val="18"/>
          <w:color w:val="auto"/>
        </w:rPr>
      </w:pPr>
      <w:r>
        <w:rPr>
          <w:rFonts w:ascii="Arial" w:cs="Arial" w:eastAsia="Arial" w:hAnsi="Arial"/>
          <w:sz w:val="18"/>
          <w:szCs w:val="18"/>
          <w:color w:val="auto"/>
        </w:rPr>
        <w:t>York Parent Limited (f/k/a Refinitiv Holdings Limited) c/o The Blackstone Group Inc.</w:t>
      </w:r>
    </w:p>
    <w:p>
      <w:pPr>
        <w:spacing w:after="0" w:line="1" w:lineRule="exact"/>
        <w:rPr>
          <w:rFonts w:ascii="Arial" w:cs="Arial" w:eastAsia="Arial" w:hAnsi="Arial"/>
          <w:sz w:val="18"/>
          <w:szCs w:val="18"/>
          <w:color w:val="auto"/>
        </w:rPr>
      </w:pPr>
    </w:p>
    <w:p>
      <w:pPr>
        <w:ind w:left="1980" w:right="6940"/>
        <w:spacing w:after="0" w:line="302" w:lineRule="auto"/>
        <w:rPr>
          <w:rFonts w:ascii="Arial" w:cs="Arial" w:eastAsia="Arial" w:hAnsi="Arial"/>
          <w:sz w:val="18"/>
          <w:szCs w:val="18"/>
          <w:color w:val="auto"/>
        </w:rPr>
      </w:pPr>
      <w:r>
        <w:rPr>
          <w:rFonts w:ascii="Arial" w:cs="Arial" w:eastAsia="Arial" w:hAnsi="Arial"/>
          <w:sz w:val="16"/>
          <w:szCs w:val="16"/>
          <w:color w:val="auto"/>
        </w:rPr>
        <w:t>345 Park Avenue New York, NY 10154 Citizenship: Cayman Islands</w:t>
      </w:r>
    </w:p>
    <w:p>
      <w:pPr>
        <w:spacing w:after="0" w:line="60" w:lineRule="exact"/>
        <w:rPr>
          <w:rFonts w:ascii="Arial" w:cs="Arial" w:eastAsia="Arial" w:hAnsi="Arial"/>
          <w:sz w:val="18"/>
          <w:szCs w:val="18"/>
          <w:color w:val="auto"/>
        </w:rPr>
      </w:pPr>
    </w:p>
    <w:p>
      <w:pPr>
        <w:ind w:left="1980" w:right="6400" w:hanging="553"/>
        <w:spacing w:after="0" w:line="291" w:lineRule="auto"/>
        <w:tabs>
          <w:tab w:leader="none" w:pos="1968" w:val="left"/>
        </w:tabs>
        <w:numPr>
          <w:ilvl w:val="0"/>
          <w:numId w:val="3"/>
        </w:numPr>
        <w:rPr>
          <w:rFonts w:ascii="Arial" w:cs="Arial" w:eastAsia="Arial" w:hAnsi="Arial"/>
          <w:sz w:val="16"/>
          <w:szCs w:val="16"/>
          <w:color w:val="auto"/>
        </w:rPr>
      </w:pPr>
      <w:r>
        <w:rPr>
          <w:rFonts w:ascii="Arial" w:cs="Arial" w:eastAsia="Arial" w:hAnsi="Arial"/>
          <w:sz w:val="16"/>
          <w:szCs w:val="16"/>
          <w:color w:val="auto"/>
        </w:rPr>
        <w:t>BCP York Holdings (Delaware) L.P. c/o The Blackstone Group Inc.</w:t>
      </w:r>
    </w:p>
    <w:p>
      <w:pPr>
        <w:ind w:left="1980" w:right="6800"/>
        <w:spacing w:after="0" w:line="277" w:lineRule="auto"/>
        <w:rPr>
          <w:rFonts w:ascii="Arial" w:cs="Arial" w:eastAsia="Arial" w:hAnsi="Arial"/>
          <w:sz w:val="16"/>
          <w:szCs w:val="16"/>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6"/>
          <w:szCs w:val="16"/>
          <w:color w:val="auto"/>
        </w:rPr>
      </w:pPr>
    </w:p>
    <w:p>
      <w:pPr>
        <w:ind w:left="1980" w:right="5920" w:hanging="553"/>
        <w:spacing w:after="0" w:line="258" w:lineRule="auto"/>
        <w:tabs>
          <w:tab w:leader="none" w:pos="1968" w:val="left"/>
        </w:tabs>
        <w:numPr>
          <w:ilvl w:val="0"/>
          <w:numId w:val="3"/>
        </w:numPr>
        <w:rPr>
          <w:rFonts w:ascii="Arial" w:cs="Arial" w:eastAsia="Arial" w:hAnsi="Arial"/>
          <w:sz w:val="18"/>
          <w:szCs w:val="18"/>
          <w:color w:val="auto"/>
        </w:rPr>
      </w:pPr>
      <w:r>
        <w:rPr>
          <w:rFonts w:ascii="Arial" w:cs="Arial" w:eastAsia="Arial" w:hAnsi="Arial"/>
          <w:sz w:val="18"/>
          <w:szCs w:val="18"/>
          <w:color w:val="auto"/>
        </w:rPr>
        <w:t>BCP York Holdings GP (Delaware) L.L.C. c/o The Blackstone Group Inc.</w:t>
      </w:r>
    </w:p>
    <w:p>
      <w:pPr>
        <w:spacing w:after="0" w:line="1" w:lineRule="exact"/>
        <w:rPr>
          <w:rFonts w:ascii="Arial" w:cs="Arial" w:eastAsia="Arial" w:hAnsi="Arial"/>
          <w:sz w:val="18"/>
          <w:szCs w:val="18"/>
          <w:color w:val="auto"/>
        </w:rPr>
      </w:pPr>
    </w:p>
    <w:p>
      <w:pPr>
        <w:ind w:left="1980" w:right="6800"/>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8"/>
          <w:szCs w:val="18"/>
          <w:color w:val="auto"/>
        </w:rPr>
      </w:pPr>
    </w:p>
    <w:p>
      <w:pPr>
        <w:ind w:left="1980" w:right="6380" w:hanging="553"/>
        <w:spacing w:after="0" w:line="291" w:lineRule="auto"/>
        <w:tabs>
          <w:tab w:leader="none" w:pos="1968" w:val="left"/>
        </w:tabs>
        <w:numPr>
          <w:ilvl w:val="0"/>
          <w:numId w:val="3"/>
        </w:numPr>
        <w:rPr>
          <w:rFonts w:ascii="Arial" w:cs="Arial" w:eastAsia="Arial" w:hAnsi="Arial"/>
          <w:sz w:val="16"/>
          <w:szCs w:val="16"/>
          <w:color w:val="auto"/>
        </w:rPr>
      </w:pPr>
      <w:r>
        <w:rPr>
          <w:rFonts w:ascii="Arial" w:cs="Arial" w:eastAsia="Arial" w:hAnsi="Arial"/>
          <w:sz w:val="16"/>
          <w:szCs w:val="16"/>
          <w:color w:val="auto"/>
        </w:rPr>
        <w:t>BCP York Subsidiary (Cayman) L.P. c/o The Blackstone Group Inc.</w:t>
      </w:r>
    </w:p>
    <w:p>
      <w:pPr>
        <w:ind w:left="1980" w:right="6940"/>
        <w:spacing w:after="0" w:line="302" w:lineRule="auto"/>
        <w:rPr>
          <w:rFonts w:ascii="Arial" w:cs="Arial" w:eastAsia="Arial" w:hAnsi="Arial"/>
          <w:sz w:val="16"/>
          <w:szCs w:val="16"/>
          <w:color w:val="auto"/>
        </w:rPr>
      </w:pPr>
      <w:r>
        <w:rPr>
          <w:rFonts w:ascii="Arial" w:cs="Arial" w:eastAsia="Arial" w:hAnsi="Arial"/>
          <w:sz w:val="16"/>
          <w:szCs w:val="16"/>
          <w:color w:val="auto"/>
        </w:rPr>
        <w:t>345 Park Avenue New York, NY 10154 Citizenship: Cayman Islands</w:t>
      </w:r>
    </w:p>
    <w:p>
      <w:pPr>
        <w:spacing w:after="0" w:line="60" w:lineRule="exact"/>
        <w:rPr>
          <w:rFonts w:ascii="Arial" w:cs="Arial" w:eastAsia="Arial" w:hAnsi="Arial"/>
          <w:sz w:val="16"/>
          <w:szCs w:val="16"/>
          <w:color w:val="auto"/>
        </w:rPr>
      </w:pPr>
    </w:p>
    <w:p>
      <w:pPr>
        <w:ind w:left="1980" w:right="5700" w:hanging="553"/>
        <w:spacing w:after="0" w:line="258" w:lineRule="auto"/>
        <w:tabs>
          <w:tab w:leader="none" w:pos="1968" w:val="left"/>
        </w:tabs>
        <w:numPr>
          <w:ilvl w:val="0"/>
          <w:numId w:val="3"/>
        </w:numPr>
        <w:rPr>
          <w:rFonts w:ascii="Arial" w:cs="Arial" w:eastAsia="Arial" w:hAnsi="Arial"/>
          <w:sz w:val="18"/>
          <w:szCs w:val="18"/>
          <w:color w:val="auto"/>
        </w:rPr>
      </w:pPr>
      <w:r>
        <w:rPr>
          <w:rFonts w:ascii="Arial" w:cs="Arial" w:eastAsia="Arial" w:hAnsi="Arial"/>
          <w:sz w:val="18"/>
          <w:szCs w:val="18"/>
          <w:color w:val="auto"/>
        </w:rPr>
        <w:t>BCP VII Holdings Manager (Cayman) L.L.C. c/o The Blackstone Group Inc.</w:t>
      </w:r>
    </w:p>
    <w:p>
      <w:pPr>
        <w:spacing w:after="0" w:line="1" w:lineRule="exact"/>
        <w:rPr>
          <w:rFonts w:ascii="Arial" w:cs="Arial" w:eastAsia="Arial" w:hAnsi="Arial"/>
          <w:sz w:val="18"/>
          <w:szCs w:val="18"/>
          <w:color w:val="auto"/>
        </w:rPr>
      </w:pPr>
    </w:p>
    <w:p>
      <w:pPr>
        <w:ind w:left="1980" w:right="6800"/>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8"/>
          <w:szCs w:val="18"/>
          <w:color w:val="auto"/>
        </w:rPr>
      </w:pPr>
    </w:p>
    <w:p>
      <w:pPr>
        <w:ind w:left="1980" w:right="5040" w:hanging="553"/>
        <w:spacing w:after="0" w:line="258" w:lineRule="auto"/>
        <w:tabs>
          <w:tab w:leader="none" w:pos="1968" w:val="left"/>
        </w:tabs>
        <w:numPr>
          <w:ilvl w:val="0"/>
          <w:numId w:val="3"/>
        </w:numPr>
        <w:rPr>
          <w:rFonts w:ascii="Arial" w:cs="Arial" w:eastAsia="Arial" w:hAnsi="Arial"/>
          <w:sz w:val="18"/>
          <w:szCs w:val="18"/>
          <w:color w:val="auto"/>
        </w:rPr>
      </w:pPr>
      <w:r>
        <w:rPr>
          <w:rFonts w:ascii="Arial" w:cs="Arial" w:eastAsia="Arial" w:hAnsi="Arial"/>
          <w:sz w:val="18"/>
          <w:szCs w:val="18"/>
          <w:color w:val="auto"/>
        </w:rPr>
        <w:t>Blackstone Management Associates (Cayman) VII L.P. c/o The Blackstone Group Inc.</w:t>
      </w:r>
    </w:p>
    <w:p>
      <w:pPr>
        <w:spacing w:after="0" w:line="1" w:lineRule="exact"/>
        <w:rPr>
          <w:rFonts w:ascii="Arial" w:cs="Arial" w:eastAsia="Arial" w:hAnsi="Arial"/>
          <w:sz w:val="18"/>
          <w:szCs w:val="18"/>
          <w:color w:val="auto"/>
        </w:rPr>
      </w:pPr>
    </w:p>
    <w:p>
      <w:pPr>
        <w:ind w:left="1980" w:right="6940"/>
        <w:spacing w:after="0" w:line="302" w:lineRule="auto"/>
        <w:rPr>
          <w:rFonts w:ascii="Arial" w:cs="Arial" w:eastAsia="Arial" w:hAnsi="Arial"/>
          <w:sz w:val="18"/>
          <w:szCs w:val="18"/>
          <w:color w:val="auto"/>
        </w:rPr>
      </w:pPr>
      <w:r>
        <w:rPr>
          <w:rFonts w:ascii="Arial" w:cs="Arial" w:eastAsia="Arial" w:hAnsi="Arial"/>
          <w:sz w:val="16"/>
          <w:szCs w:val="16"/>
          <w:color w:val="auto"/>
        </w:rPr>
        <w:t>345 Park Avenue New York, NY 10154 Citizenship: Cayman Islands</w:t>
      </w:r>
    </w:p>
    <w:p>
      <w:pPr>
        <w:sectPr>
          <w:pgSz w:w="11900" w:h="16838" w:orient="portrait"/>
          <w:cols w:equalWidth="0" w:num="1">
            <w:col w:w="10980"/>
          </w:cols>
          <w:pgMar w:left="440" w:top="270" w:right="479" w:bottom="1440" w:gutter="0" w:footer="0" w:header="0"/>
        </w:sectPr>
      </w:pPr>
    </w:p>
    <w:bookmarkStart w:id="15" w:name="page16"/>
    <w:bookmarkEnd w:id="15"/>
    <w:p>
      <w:pPr>
        <w:ind w:left="1960" w:hanging="533"/>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BCP VII GP L.L.C.</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c/o The Blackstone Group Inc.</w:t>
      </w:r>
    </w:p>
    <w:p>
      <w:pPr>
        <w:spacing w:after="0" w:line="9" w:lineRule="exact"/>
        <w:rPr>
          <w:rFonts w:ascii="Arial" w:cs="Arial" w:eastAsia="Arial" w:hAnsi="Arial"/>
          <w:sz w:val="18"/>
          <w:szCs w:val="18"/>
          <w:color w:val="auto"/>
        </w:rPr>
      </w:pPr>
    </w:p>
    <w:p>
      <w:pPr>
        <w:ind w:left="1980" w:right="583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8"/>
          <w:szCs w:val="18"/>
          <w:color w:val="auto"/>
        </w:rPr>
      </w:pPr>
    </w:p>
    <w:p>
      <w:pPr>
        <w:ind w:left="1980" w:right="5819" w:hanging="553"/>
        <w:spacing w:after="0" w:line="255" w:lineRule="auto"/>
        <w:tabs>
          <w:tab w:leader="none" w:pos="1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Blackstone Holdings III L.P. c/o The Blackstone Group Inc. 345 Park Avenue</w:t>
      </w:r>
    </w:p>
    <w:p>
      <w:pPr>
        <w:spacing w:after="0" w:line="2" w:lineRule="exact"/>
        <w:rPr>
          <w:rFonts w:ascii="Arial" w:cs="Arial" w:eastAsia="Arial" w:hAnsi="Arial"/>
          <w:sz w:val="18"/>
          <w:szCs w:val="18"/>
          <w:color w:val="auto"/>
        </w:rPr>
      </w:pPr>
    </w:p>
    <w:p>
      <w:pPr>
        <w:ind w:left="1980" w:right="5939"/>
        <w:spacing w:after="0" w:line="323" w:lineRule="auto"/>
        <w:rPr>
          <w:rFonts w:ascii="Arial" w:cs="Arial" w:eastAsia="Arial" w:hAnsi="Arial"/>
          <w:sz w:val="18"/>
          <w:szCs w:val="18"/>
          <w:color w:val="auto"/>
        </w:rPr>
      </w:pPr>
      <w:r>
        <w:rPr>
          <w:rFonts w:ascii="Arial" w:cs="Arial" w:eastAsia="Arial" w:hAnsi="Arial"/>
          <w:sz w:val="16"/>
          <w:szCs w:val="16"/>
          <w:color w:val="auto"/>
        </w:rPr>
        <w:t>New York, NY 10154 Citizenship: Quebec, Canada</w:t>
      </w:r>
    </w:p>
    <w:p>
      <w:pPr>
        <w:spacing w:after="0" w:line="43" w:lineRule="exact"/>
        <w:rPr>
          <w:rFonts w:ascii="Arial" w:cs="Arial" w:eastAsia="Arial" w:hAnsi="Arial"/>
          <w:sz w:val="18"/>
          <w:szCs w:val="18"/>
          <w:color w:val="auto"/>
        </w:rPr>
      </w:pPr>
    </w:p>
    <w:p>
      <w:pPr>
        <w:ind w:left="1980" w:right="5719" w:hanging="553"/>
        <w:spacing w:after="0" w:line="291" w:lineRule="auto"/>
        <w:tabs>
          <w:tab w:leader="none" w:pos="1968" w:val="left"/>
        </w:tabs>
        <w:numPr>
          <w:ilvl w:val="0"/>
          <w:numId w:val="4"/>
        </w:numPr>
        <w:rPr>
          <w:rFonts w:ascii="Arial" w:cs="Arial" w:eastAsia="Arial" w:hAnsi="Arial"/>
          <w:sz w:val="16"/>
          <w:szCs w:val="16"/>
          <w:color w:val="auto"/>
        </w:rPr>
      </w:pPr>
      <w:r>
        <w:rPr>
          <w:rFonts w:ascii="Arial" w:cs="Arial" w:eastAsia="Arial" w:hAnsi="Arial"/>
          <w:sz w:val="16"/>
          <w:szCs w:val="16"/>
          <w:color w:val="auto"/>
        </w:rPr>
        <w:t>Blackstone Holdings III GP L.P. c/o The Blackstone Group Inc.</w:t>
      </w:r>
    </w:p>
    <w:p>
      <w:pPr>
        <w:ind w:left="1980" w:right="5839"/>
        <w:spacing w:after="0" w:line="277" w:lineRule="auto"/>
        <w:rPr>
          <w:rFonts w:ascii="Arial" w:cs="Arial" w:eastAsia="Arial" w:hAnsi="Arial"/>
          <w:sz w:val="16"/>
          <w:szCs w:val="16"/>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6"/>
          <w:szCs w:val="16"/>
          <w:color w:val="auto"/>
        </w:rPr>
      </w:pPr>
    </w:p>
    <w:p>
      <w:pPr>
        <w:ind w:left="1980" w:right="4539" w:hanging="553"/>
        <w:spacing w:after="0" w:line="258" w:lineRule="auto"/>
        <w:tabs>
          <w:tab w:leader="none" w:pos="1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Blackstone Holdings III GP Management L.L.C. c/o The Blackstone Group Inc.</w:t>
      </w:r>
    </w:p>
    <w:p>
      <w:pPr>
        <w:spacing w:after="0" w:line="1" w:lineRule="exact"/>
        <w:rPr>
          <w:rFonts w:ascii="Arial" w:cs="Arial" w:eastAsia="Arial" w:hAnsi="Arial"/>
          <w:sz w:val="18"/>
          <w:szCs w:val="18"/>
          <w:color w:val="auto"/>
        </w:rPr>
      </w:pPr>
    </w:p>
    <w:p>
      <w:pPr>
        <w:ind w:left="1980" w:right="583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8"/>
          <w:szCs w:val="18"/>
          <w:color w:val="auto"/>
        </w:rPr>
      </w:pPr>
    </w:p>
    <w:p>
      <w:pPr>
        <w:ind w:left="1960" w:hanging="533"/>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Blackstone Group Inc.</w:t>
      </w:r>
    </w:p>
    <w:p>
      <w:pPr>
        <w:spacing w:after="0" w:line="23" w:lineRule="exact"/>
        <w:rPr>
          <w:rFonts w:ascii="Arial" w:cs="Arial" w:eastAsia="Arial" w:hAnsi="Arial"/>
          <w:sz w:val="18"/>
          <w:szCs w:val="18"/>
          <w:color w:val="auto"/>
        </w:rPr>
      </w:pPr>
    </w:p>
    <w:p>
      <w:pPr>
        <w:ind w:left="1980" w:right="583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8"/>
          <w:szCs w:val="18"/>
          <w:color w:val="auto"/>
        </w:rPr>
      </w:pPr>
    </w:p>
    <w:p>
      <w:pPr>
        <w:ind w:left="1980" w:right="5239" w:hanging="553"/>
        <w:spacing w:after="0" w:line="274" w:lineRule="auto"/>
        <w:tabs>
          <w:tab w:leader="none" w:pos="1968" w:val="left"/>
        </w:tabs>
        <w:numPr>
          <w:ilvl w:val="0"/>
          <w:numId w:val="4"/>
        </w:numPr>
        <w:rPr>
          <w:rFonts w:ascii="Arial" w:cs="Arial" w:eastAsia="Arial" w:hAnsi="Arial"/>
          <w:sz w:val="17"/>
          <w:szCs w:val="17"/>
          <w:color w:val="auto"/>
        </w:rPr>
      </w:pPr>
      <w:r>
        <w:rPr>
          <w:rFonts w:ascii="Arial" w:cs="Arial" w:eastAsia="Arial" w:hAnsi="Arial"/>
          <w:sz w:val="17"/>
          <w:szCs w:val="17"/>
          <w:color w:val="auto"/>
        </w:rPr>
        <w:t>Blackstone Group Management L.L.C. c/o The Blackstone Group Inc.</w:t>
      </w:r>
    </w:p>
    <w:p>
      <w:pPr>
        <w:ind w:left="1980" w:right="5839"/>
        <w:spacing w:after="0" w:line="277" w:lineRule="auto"/>
        <w:rPr>
          <w:rFonts w:ascii="Arial" w:cs="Arial" w:eastAsia="Arial" w:hAnsi="Arial"/>
          <w:sz w:val="17"/>
          <w:szCs w:val="17"/>
          <w:color w:val="auto"/>
        </w:rPr>
      </w:pPr>
      <w:r>
        <w:rPr>
          <w:rFonts w:ascii="Arial" w:cs="Arial" w:eastAsia="Arial" w:hAnsi="Arial"/>
          <w:sz w:val="17"/>
          <w:szCs w:val="17"/>
          <w:color w:val="auto"/>
        </w:rPr>
        <w:t>345 Park Avenue New York, NY 10154 Citizenship: State of Delaware</w:t>
      </w:r>
    </w:p>
    <w:p>
      <w:pPr>
        <w:spacing w:after="0" w:line="78" w:lineRule="exact"/>
        <w:rPr>
          <w:rFonts w:ascii="Arial" w:cs="Arial" w:eastAsia="Arial" w:hAnsi="Arial"/>
          <w:sz w:val="17"/>
          <w:szCs w:val="17"/>
          <w:color w:val="auto"/>
        </w:rPr>
      </w:pPr>
    </w:p>
    <w:p>
      <w:pPr>
        <w:ind w:left="1960" w:hanging="533"/>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Stephen A. Schwarzman</w:t>
      </w:r>
    </w:p>
    <w:p>
      <w:pPr>
        <w:spacing w:after="0" w:line="23" w:lineRule="exact"/>
        <w:rPr>
          <w:rFonts w:ascii="Arial" w:cs="Arial" w:eastAsia="Arial" w:hAnsi="Arial"/>
          <w:sz w:val="18"/>
          <w:szCs w:val="18"/>
          <w:color w:val="auto"/>
        </w:rPr>
      </w:pPr>
    </w:p>
    <w:p>
      <w:pPr>
        <w:ind w:left="1980" w:right="5819"/>
        <w:spacing w:after="0" w:line="250" w:lineRule="auto"/>
        <w:rPr>
          <w:rFonts w:ascii="Arial" w:cs="Arial" w:eastAsia="Arial" w:hAnsi="Arial"/>
          <w:sz w:val="18"/>
          <w:szCs w:val="18"/>
          <w:color w:val="auto"/>
        </w:rPr>
      </w:pPr>
      <w:r>
        <w:rPr>
          <w:rFonts w:ascii="Arial" w:cs="Arial" w:eastAsia="Arial" w:hAnsi="Arial"/>
          <w:sz w:val="18"/>
          <w:szCs w:val="18"/>
          <w:color w:val="auto"/>
        </w:rPr>
        <w:t>c/o The Blackstone Group Inc. 345 Park Avenue</w:t>
      </w:r>
    </w:p>
    <w:p>
      <w:pPr>
        <w:ind w:left="1980" w:right="6159"/>
        <w:spacing w:after="0" w:line="323" w:lineRule="auto"/>
        <w:rPr>
          <w:rFonts w:ascii="Arial" w:cs="Arial" w:eastAsia="Arial" w:hAnsi="Arial"/>
          <w:sz w:val="18"/>
          <w:szCs w:val="18"/>
          <w:color w:val="auto"/>
        </w:rPr>
      </w:pPr>
      <w:r>
        <w:rPr>
          <w:rFonts w:ascii="Arial" w:cs="Arial" w:eastAsia="Arial" w:hAnsi="Arial"/>
          <w:sz w:val="16"/>
          <w:szCs w:val="16"/>
          <w:color w:val="auto"/>
        </w:rPr>
        <w:t>New York, NY 10154 Citizenship: United States</w:t>
      </w: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$0.00001 per share (the “Class A Common Stock”).</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892672106</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4" w:right="1440"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right="320" w:firstLine="1432"/>
        <w:spacing w:after="0" w:line="277" w:lineRule="auto"/>
        <w:rPr>
          <w:sz w:val="20"/>
          <w:szCs w:val="20"/>
          <w:color w:val="auto"/>
        </w:rPr>
      </w:pPr>
      <w:r>
        <w:rPr>
          <w:rFonts w:ascii="Arial" w:cs="Arial" w:eastAsia="Arial" w:hAnsi="Arial"/>
          <w:sz w:val="18"/>
          <w:szCs w:val="18"/>
          <w:color w:val="auto"/>
        </w:rPr>
        <w:t>Each of the Reporting Persons may be deemed to be the beneficial owner of the shares of Class A Common Stock listed on such Reporting Person’s respective reporting page.</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Each of the Reporting Persons may be deemed to be the beneficial owner of the percentage of Class A Common Stock listed on such Reporting Person’s cover page.</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Number of Shares as to which the Reporting Person has:</w:t>
      </w:r>
    </w:p>
    <w:p>
      <w:pPr>
        <w:spacing w:after="0" w:line="135" w:lineRule="exact"/>
        <w:rPr>
          <w:sz w:val="20"/>
          <w:szCs w:val="20"/>
          <w:color w:val="auto"/>
        </w:rPr>
      </w:pPr>
    </w:p>
    <w:p>
      <w:pPr>
        <w:ind w:left="2420" w:right="6160" w:hanging="993"/>
        <w:spacing w:after="0" w:line="431" w:lineRule="auto"/>
        <w:tabs>
          <w:tab w:leader="none" w:pos="1968" w:val="left"/>
        </w:tabs>
        <w:numPr>
          <w:ilvl w:val="0"/>
          <w:numId w:val="5"/>
        </w:numPr>
        <w:rPr>
          <w:rFonts w:ascii="Arial" w:cs="Arial" w:eastAsia="Arial" w:hAnsi="Arial"/>
          <w:sz w:val="16"/>
          <w:szCs w:val="16"/>
          <w:color w:val="auto"/>
        </w:rPr>
      </w:pPr>
      <w:r>
        <w:rPr>
          <w:rFonts w:ascii="Arial" w:cs="Arial" w:eastAsia="Arial" w:hAnsi="Arial"/>
          <w:sz w:val="16"/>
          <w:szCs w:val="16"/>
          <w:color w:val="auto"/>
        </w:rPr>
        <w:t>Sole power to vote or to direct the vote: See each cover page hereof.</w:t>
      </w:r>
    </w:p>
    <w:p>
      <w:pPr>
        <w:ind w:left="2420" w:right="5980" w:hanging="993"/>
        <w:spacing w:after="0" w:line="431" w:lineRule="auto"/>
        <w:tabs>
          <w:tab w:leader="none" w:pos="1968"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Shared power to vote or to direct the vote: See each cover page hereof.</w:t>
      </w:r>
    </w:p>
    <w:p>
      <w:pPr>
        <w:ind w:left="2420" w:right="5240" w:hanging="993"/>
        <w:spacing w:after="0" w:line="406" w:lineRule="auto"/>
        <w:tabs>
          <w:tab w:leader="none" w:pos="196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each cover page hereof.</w:t>
      </w:r>
    </w:p>
    <w:p>
      <w:pPr>
        <w:ind w:left="2420" w:right="5080" w:hanging="993"/>
        <w:spacing w:after="0" w:line="402" w:lineRule="auto"/>
        <w:tabs>
          <w:tab w:leader="none" w:pos="1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each cover page hereof.</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right="3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6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0" w:right="47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YORK PARENT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Martin J. Brand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BCP YORK HOLDINGS (DELAWARE)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BCP York Holdings GP (Delaware) L.L.C., its general</w:t>
      </w:r>
    </w:p>
    <w:p>
      <w:pPr>
        <w:spacing w:after="0" w:line="2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partner</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Martin J. Brand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BCP YORK HOLDINGS GP (DELAWARE)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Martin J. Brand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BCP YORK SUBSIDIARY (CAYMAN)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BCP VII Holdings Manager (Cayman) L.L.C., its</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Blackstone Management Associates (Cayman) VII L.P.,</w:t>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its 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BCP VII GP L.L.C.,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Managing Director</w:t>
      </w:r>
    </w:p>
    <w:p>
      <w:pPr>
        <w:sectPr>
          <w:pgSz w:w="11900" w:h="16838" w:orient="portrait"/>
          <w:cols w:equalWidth="0" w:num="1">
            <w:col w:w="10940"/>
          </w:cols>
          <w:pgMar w:left="440" w:top="270" w:right="51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BCP VII HOLDINGS MANAGER (CAYMAN)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Management Associates (Cayman) VII L.P.,</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MANAGEMENT ASSOCIATES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(CAYMAN) VII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VII GP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ectPr>
          <w:pgSz w:w="11900" w:h="16838" w:orient="portrait"/>
          <w:cols w:equalWidth="0" w:num="1">
            <w:col w:w="9940"/>
          </w:cols>
          <w:pgMar w:left="1440" w:top="270" w:right="51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GP Management L.L.C., its</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BLACKSTONE HOLDINGS III GP MANAGEMENT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BLACKSTONE GROUP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Y. Hsi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Tabea Y. Hsi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Tabea Y. Hsi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Managing Director</w:t>
            </w: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Schwarzman</w:t>
      </w:r>
    </w:p>
    <w:p>
      <w:pPr>
        <w:spacing w:after="0" w:line="23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[Tradeweb Markets Inc. - Schedule 13G/A]</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7"/>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2021-02-02T16:11:55Z</dcterms:created>
  <dcterms:modified xsi:type="dcterms:W3CDTF">2021-02-02T16:11:55Z</dcterms:modified>
</cp:coreProperties>
</file>